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13" w:firstLine="0"/>
        <w:jc w:val="center"/>
        <w:spacing w:before="0" w:after="0" w:line="73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p>
      <w:pPr>
        <w:ind w:left="0" w:right="-13" w:firstLine="0"/>
        <w:jc w:val="center"/>
        <w:spacing w:before="0" w:after="0" w:line="73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 </w:t>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 w:firstLine="0"/>
        <w:jc w:val="center"/>
        <w:spacing w:before="0" w:after="0" w:line="73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64"/>
        </w:rPr>
        <w:t xml:space="preserve">竞争性磋商文件</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5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2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采购编号：JSZC-320100-NJCY-C2025-0029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2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采购项目：南京交通技师学院金陵实训基地消防设施维修改造工程</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2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采购单位：南京交通技师学院</w:t>
      </w:r>
      <w:r>
        <w:rPr>
          <w:rFonts w:ascii="Times New Roman" w:hAnsi="Times New Roman" w:eastAsia="Times New Roman" w:cs="Times New Roman"/>
          <w:sz w:val="24"/>
        </w:rPr>
      </w:r>
      <w:r/>
    </w:p>
    <w:p>
      <w:pPr>
        <w:ind w:left="0" w:right="0" w:firstLine="0"/>
        <w:jc w:val="center"/>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5"/>
        </w:rPr>
        <w:t xml:space="preserve">江苏川页工程项目管理有限公司</w:t>
      </w:r>
      <w:r/>
    </w:p>
    <w:p>
      <w:pPr>
        <w:ind w:left="0" w:right="0"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41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二○二五年十二月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p>
    <w:p>
      <w:pPr>
        <w:ind w:left="0" w:right="-33" w:firstLine="0"/>
        <w:jc w:val="both"/>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firstLine="0"/>
        <w:jc w:val="center"/>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w:t>
      </w:r>
      <w:r>
        <w:rPr>
          <w:rFonts w:ascii="SimSun" w:hAnsi="SimSun" w:eastAsia="SimSun" w:cs="SimSun"/>
          <w:b/>
          <w:color w:val="000000"/>
          <w:sz w:val="36"/>
        </w:rPr>
        <w:t xml:space="preserve">南京交通技师学院金陵实训基地消防设施维修</w:t>
      </w:r>
      <w:r/>
    </w:p>
    <w:p>
      <w:pPr>
        <w:ind w:left="0" w:right="-33" w:firstLine="0"/>
        <w:jc w:val="center"/>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改造工程竞争性磋商公告</w:t>
      </w:r>
      <w:r>
        <w:rPr>
          <w:rFonts w:ascii="Times New Roman" w:hAnsi="Times New Roman" w:eastAsia="Times New Roman" w:cs="Times New Roman"/>
          <w:sz w:val="24"/>
        </w:rPr>
      </w:r>
      <w:r/>
    </w:p>
    <w:p>
      <w:pPr>
        <w:ind w:left="0" w:right="6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南京交通技师学院金陵实训基地消防设施维修改造工程</w:t>
      </w:r>
      <w:r>
        <w:rPr>
          <w:rFonts w:ascii="FangSong" w:hAnsi="FangSong" w:eastAsia="FangSong" w:cs="FangSong"/>
          <w:color w:val="000000"/>
          <w:sz w:val="24"/>
        </w:rPr>
        <w:t xml:space="preserve">的潜在供应商应在</w:t>
      </w:r>
      <w:r>
        <w:rPr>
          <w:rFonts w:ascii="FangSong" w:hAnsi="FangSong" w:eastAsia="FangSong" w:cs="FangSong"/>
          <w:b/>
          <w:color w:val="000000"/>
          <w:sz w:val="24"/>
          <w:u w:val="single"/>
        </w:rPr>
        <w:t xml:space="preserve">南京市建邺区奥体中心体育场T110三楼3081A室</w:t>
      </w:r>
      <w:r>
        <w:rPr>
          <w:rFonts w:ascii="FangSong" w:hAnsi="FangSong" w:eastAsia="FangSong" w:cs="FangSong"/>
          <w:color w:val="000000"/>
          <w:sz w:val="24"/>
        </w:rPr>
        <w:t xml:space="preserve">获取采购文件，并于</w:t>
      </w:r>
      <w:r>
        <w:rPr>
          <w:rFonts w:ascii="FangSong" w:hAnsi="FangSong" w:eastAsia="FangSong" w:cs="FangSong"/>
          <w:color w:val="000000"/>
          <w:sz w:val="24"/>
          <w:u w:val="single"/>
        </w:rPr>
        <w:t xml:space="preserve">2025年12月30日14点30分</w:t>
      </w:r>
      <w:r>
        <w:rPr>
          <w:rFonts w:ascii="FangSong" w:hAnsi="FangSong" w:eastAsia="FangSong" w:cs="FangSong"/>
          <w:color w:val="000000"/>
          <w:sz w:val="24"/>
        </w:rPr>
        <w:t xml:space="preserve">（北京时间）前提交响应文件。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一、项目基本情况</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1.1项目编号：JSZC-320100-NJCY-C2025-0029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1.2项目名称：</w:t>
      </w:r>
      <w:r>
        <w:rPr>
          <w:rFonts w:ascii="FangSong" w:hAnsi="FangSong" w:eastAsia="FangSong" w:cs="FangSong"/>
          <w:b/>
          <w:color w:val="000000"/>
          <w:sz w:val="24"/>
        </w:rPr>
        <w:t xml:space="preserve">南京交通技师学院金陵实训基地消防设施维修改造工程</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1.3采购方式：竞争性磋商</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1.4预算金额：</w:t>
      </w:r>
      <w:r>
        <w:rPr>
          <w:rFonts w:ascii="Times New Roman" w:hAnsi="Times New Roman" w:eastAsia="Times New Roman" w:cs="Times New Roman"/>
          <w:b/>
          <w:color w:val="000000"/>
          <w:sz w:val="24"/>
        </w:rPr>
        <w:t xml:space="preserve">1950000.00</w:t>
      </w:r>
      <w:r>
        <w:rPr>
          <w:rFonts w:ascii="SimSun" w:hAnsi="SimSun" w:eastAsia="SimSun" w:cs="SimSun"/>
          <w:b/>
          <w:color w:val="000000"/>
          <w:sz w:val="24"/>
        </w:rPr>
        <w:t xml:space="preserve">元</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1.5最高限价：</w:t>
      </w:r>
      <w:r>
        <w:rPr>
          <w:rFonts w:ascii="Times New Roman" w:hAnsi="Times New Roman" w:eastAsia="Times New Roman" w:cs="Times New Roman"/>
          <w:b/>
          <w:color w:val="000000"/>
          <w:sz w:val="24"/>
        </w:rPr>
        <w:t xml:space="preserve">1946643.55</w:t>
      </w:r>
      <w:r>
        <w:rPr>
          <w:rFonts w:ascii="SimSun" w:hAnsi="SimSun" w:eastAsia="SimSun" w:cs="SimSun"/>
          <w:b/>
          <w:color w:val="000000"/>
          <w:sz w:val="24"/>
        </w:rPr>
        <w:t xml:space="preserve">元</w:t>
      </w:r>
      <w:r>
        <w:rPr>
          <w:rFonts w:ascii="FangSong" w:hAnsi="FangSong" w:eastAsia="FangSong" w:cs="FangSong"/>
          <w:b/>
          <w:color w:val="000000"/>
          <w:sz w:val="24"/>
        </w:rPr>
        <w:t xml:space="preserve">（超过此价格，按废标处理）</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1.6采购需求：</w:t>
      </w:r>
      <w:r>
        <w:rPr>
          <w:rFonts w:ascii="FangSong" w:hAnsi="FangSong" w:eastAsia="FangSong" w:cs="FangSong"/>
          <w:b/>
          <w:color w:val="000000"/>
          <w:sz w:val="24"/>
        </w:rPr>
        <w:t xml:space="preserve">南京交通技师学院金陵实训基地消防设施维修改造工程</w:t>
      </w:r>
      <w:r>
        <w:rPr>
          <w:rFonts w:ascii="FangSong" w:hAnsi="FangSong" w:eastAsia="FangSong" w:cs="FangSong"/>
          <w:color w:val="000000"/>
          <w:sz w:val="24"/>
        </w:rPr>
        <w:t xml:space="preserve">，具体详见工程量清单。</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1.7合同履行期限：</w:t>
      </w:r>
      <w:r>
        <w:rPr>
          <w:rFonts w:ascii="FangSong" w:hAnsi="FangSong" w:eastAsia="FangSong" w:cs="FangSong"/>
          <w:b/>
          <w:color w:val="000000"/>
          <w:sz w:val="24"/>
        </w:rPr>
        <w:t xml:space="preserve">合同签订后25日内完成</w:t>
      </w:r>
      <w:r>
        <w:rPr>
          <w:rFonts w:ascii="FangSong" w:hAnsi="FangSong" w:eastAsia="FangSong" w:cs="FangSong"/>
          <w:color w:val="000000"/>
          <w:sz w:val="24"/>
        </w:rPr>
        <w:t xml:space="preserve">。</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1.8本项目（是/否）接受联合体：否。</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二、申请人的资格要求：</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2.1满足《中华人民共和国政府采购法》第二十二条规定；</w:t>
      </w:r>
      <w:r/>
    </w:p>
    <w:p>
      <w:pPr>
        <w:ind w:left="0" w:right="6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left="0" w:right="6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不适用信用承诺的情形：</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（一）供应商被列入严重失信主体名单；</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（二）南京市政府采购供应商诚信档案管理系统中诚信档案分在40分以下；</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（三）被相关监管部门作出行政处罚且尚在处罚有效期内；</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（四）其他法律、行政法规规定的不适用信用承诺的情形。</w:t>
      </w:r>
      <w:r/>
    </w:p>
    <w:p>
      <w:pPr>
        <w:ind w:left="0" w:right="6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供应商在成交后，应按采购文件要求，将由信用承诺书替代的证明材料提交采购人或采购代理机构核验。经核验无误后，由采购人或采购代理机构发出成交通知书。</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法律、行政法规规定的其他条件：无。</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2.2本项目的特定资格要求：</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（1）供应商具有消防设施工程专业承包二级(含)以上资质并具备有效期内的安全生产许可证。（须提供上述有效证书复印件并加盖供应商公章）；</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（2）项目负责人须具有注册建造师证机电工程二级(含)以上且具备有效的安全生产考核B类证。（须提供上述有效证书复印件并加盖供应商公章）；</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项目负责人未担任其他在建建设工程项目的项目负责人。（提供承诺书并加盖供应商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根据江苏省住房和城乡建设厅(2023)第26号“关于我省二级建造师、二级造价工程师、二级注册市政公用师、二级注册结构工程师注册证书电子证照换发的公告”，自2024年3月10日起，二级注册建造师须提供换证后的新版电子证照，电子证照应当符合相关文件规定。</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2.3拒绝下述供应商参加本次采购活动：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（1）第2.1（5）条所称重大违法记录，是指供应商因违法经营受到刑事处罚或者责令停产停业、吊销许可证或者执照、较大数额罚款等行政处罚。</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（2）供应商在参加政府采购活动前3年内因违法经营被禁止在一定期限内参加政府采购活动，期限届满的，可以参加政府采购活动。</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（3）供应商单位负责人为同一人或者存在直接控股、管理关系的不同供应商，不得参加同一合同项下的政府采购活动。</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（4）凡为采购项目提供整体设计、规范编制或者项目管理、监理、检测等服务的供应商，不得再参 加本项目的采购活动。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（5）供应商被“信用中国”网站、“中国政府采购网"列入失信被执行人、重大税收违法案件当事 人名单、政府采购严重违法失信行为记录名单。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2.4勘察现场或答疑：</w:t>
      </w:r>
      <w:r>
        <w:rPr>
          <w:rFonts w:ascii="FangSong" w:hAnsi="FangSong" w:eastAsia="FangSong" w:cs="FangSong"/>
          <w:b/>
          <w:color w:val="000000"/>
          <w:sz w:val="24"/>
        </w:rPr>
        <w:t xml:space="preserve">采购组织统一踏勘现场，时间2025年12月27日上午9:00至11:00。地址：南京交通技师学院金陵实训基地校区（江宁区淳化街道七里岗177号），联系电话：15951623418.请务必对项目现场和周围环境进行仔细认真地查勘，在随后的采购中，对现场资料和数据所作出的推论、解释和结论及由此造成的后果由供应商负责。如供应商因主动放弃现场踏勘造成响应不准确、报价不合理的，后果自行承担。</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三、获取采购文件</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3.1时间：自招标公告发布之日起5个工作日内 </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3.2地点：江苏政府采购网 </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3.4售价：0.00元</w:t>
      </w:r>
      <w:r>
        <w:rPr>
          <w:rFonts w:ascii="FangSong" w:hAnsi="FangSong" w:eastAsia="FangSong" w:cs="FangSong"/>
          <w:color w:val="000000"/>
          <w:sz w:val="24"/>
        </w:rPr>
        <w:t xml:space="preserve">。</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四、响应文件提交</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4.1时间：2025-12-30 14:30 （北京时间）</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4.2地点：“苏采云”政府采购交易系统网上开标大厅</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五</w:t>
      </w:r>
      <w:r>
        <w:rPr>
          <w:rFonts w:ascii="FangSong" w:hAnsi="FangSong" w:eastAsia="FangSong" w:cs="FangSong"/>
          <w:color w:val="000000"/>
          <w:sz w:val="24"/>
        </w:rPr>
        <w:t xml:space="preserve">、公告期限</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5.1、本招标公告在“南京公共采购信息网”“江苏省政府采购网”发布之日起5个工作日。  </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5.2、有关本次招标的事项若存在变动或修改，敬请及时关注“南京公共采购信息网”“江苏省政府采购网”发布的信息更正公告。</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六</w:t>
      </w:r>
      <w:r>
        <w:rPr>
          <w:rFonts w:ascii="FangSong" w:hAnsi="FangSong" w:eastAsia="FangSong" w:cs="FangSong"/>
          <w:color w:val="000000"/>
          <w:sz w:val="24"/>
        </w:rPr>
        <w:t xml:space="preserve">、其他补充事宜</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w:t>
      </w:r>
      <w:r>
        <w:rPr>
          <w:rFonts w:ascii="FangSong" w:hAnsi="FangSong" w:eastAsia="FangSong" w:cs="FangSong"/>
          <w:b/>
          <w:color w:val="000000"/>
          <w:sz w:val="24"/>
        </w:rPr>
        <w:t xml:space="preserve">、</w:t>
      </w:r>
      <w:r>
        <w:rPr>
          <w:rFonts w:ascii="FangSong" w:hAnsi="FangSong" w:eastAsia="FangSong" w:cs="FangSong"/>
          <w:color w:val="000000"/>
          <w:sz w:val="24"/>
        </w:rPr>
        <w:t xml:space="preserve">本采购文件中标★部分为实质性投标条件，为必须遵守的条件，如不满足将作无效投标文件处理。</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w:t>
      </w:r>
      <w:r>
        <w:rPr>
          <w:rFonts w:ascii="FangSong" w:hAnsi="FangSong" w:eastAsia="FangSong" w:cs="FangSong"/>
          <w:b/>
          <w:color w:val="000000"/>
          <w:sz w:val="24"/>
        </w:rPr>
        <w:t xml:space="preserve">、</w:t>
      </w:r>
      <w:r>
        <w:rPr>
          <w:rFonts w:ascii="FangSong" w:hAnsi="FangSong" w:eastAsia="FangSong" w:cs="FangSong"/>
          <w:color w:val="000000"/>
          <w:sz w:val="24"/>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       </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http://www.ccgp-jiangsu.gov.cn/jiangsu/zlxz/ee/ee3a4bc5a3454aa2b0d9312230633ce9.html（“苏采云”南京地区客服热线025-83633744、025-83633743）。</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w:t>
      </w:r>
      <w:r>
        <w:rPr>
          <w:rFonts w:ascii="FangSong" w:hAnsi="FangSong" w:eastAsia="FangSong" w:cs="FangSong"/>
          <w:b/>
          <w:color w:val="000000"/>
          <w:sz w:val="24"/>
        </w:rPr>
        <w:t xml:space="preserve">、</w:t>
      </w:r>
      <w:r>
        <w:rPr>
          <w:rFonts w:ascii="FangSong" w:hAnsi="FangSong" w:eastAsia="FangSong" w:cs="FangSong"/>
          <w:color w:val="000000"/>
          <w:sz w:val="24"/>
        </w:rPr>
        <w:t xml:space="preserve">供应商诚信档案</w:t>
      </w:r>
      <w:r/>
    </w:p>
    <w:p>
      <w:pPr>
        <w:ind w:left="0" w:right="60" w:firstLine="2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FangSong" w:hAnsi="FangSong" w:eastAsia="FangSong" w:cs="FangSong"/>
          <w:color w:val="000000"/>
          <w:sz w:val="24"/>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打印时间为本公告发布之日起至递交响应文件截止日前，未按上述要求提供信用记录表的，响应文件作废标处理。</w:t>
      </w:r>
      <w:r/>
    </w:p>
    <w:p>
      <w:pPr>
        <w:ind w:left="0" w:right="6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6.4 </w:t>
      </w:r>
      <w:r>
        <w:rPr>
          <w:rFonts w:ascii="FangSong" w:hAnsi="FangSong" w:eastAsia="FangSong" w:cs="FangSong"/>
          <w:b/>
          <w:color w:val="000000"/>
          <w:sz w:val="24"/>
        </w:rPr>
        <w:t xml:space="preserve">、</w:t>
      </w:r>
      <w:r>
        <w:rPr>
          <w:rFonts w:ascii="FangSong" w:hAnsi="FangSong" w:eastAsia="FangSong" w:cs="FangSong"/>
          <w:color w:val="000000"/>
          <w:sz w:val="24"/>
        </w:rPr>
        <w:t xml:space="preserve">采购项目需要落实的政府采购政策：本项目整体专门面向中小微企业采购 </w:t>
      </w:r>
      <w:r/>
    </w:p>
    <w:p>
      <w:pPr>
        <w:ind w:left="0" w:right="6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注：本次采购所属行业：建筑业。</w:t>
      </w:r>
      <w:r/>
    </w:p>
    <w:p>
      <w:pPr>
        <w:ind w:left="0" w:right="6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6.5、本项目图纸请投标人自行登入百度网盘下载：链接: https://pan.baidu.com/s/1binCIeyEnGXuqt844TdK0w?pwd=kdps 提取码: kdps</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七</w:t>
      </w:r>
      <w:r>
        <w:rPr>
          <w:rFonts w:ascii="FangSong" w:hAnsi="FangSong" w:eastAsia="FangSong" w:cs="FangSong"/>
          <w:color w:val="000000"/>
          <w:sz w:val="24"/>
        </w:rPr>
        <w:t xml:space="preserve">、凡对本次采购提出询问，请按以下方式联系</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7</w:t>
      </w:r>
      <w:r>
        <w:rPr>
          <w:rFonts w:ascii="FangSong" w:hAnsi="FangSong" w:eastAsia="FangSong" w:cs="FangSong"/>
          <w:color w:val="000000"/>
          <w:sz w:val="24"/>
        </w:rPr>
        <w:t xml:space="preserve">.1.采购人信息</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名称：南京交通技师学院</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地址：南京市栖霞区狮子坝168号</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联系人：杨老师</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联系方式：025-84368753</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7</w:t>
      </w:r>
      <w:r>
        <w:rPr>
          <w:rFonts w:ascii="FangSong" w:hAnsi="FangSong" w:eastAsia="FangSong" w:cs="FangSong"/>
          <w:color w:val="000000"/>
          <w:sz w:val="24"/>
        </w:rPr>
        <w:t xml:space="preserve">.2.采购代理机构信息</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代理机构名称：江苏川页工程项目管理有限公司</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w:t>
        <w:tab/>
        <w:t xml:space="preserve">址：南京市建邺区奥体中心体育场T110-3081A会议室</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联系人：陈阳阳</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 025-86203663    15951623418</w:t>
      </w:r>
      <w:r/>
    </w:p>
    <w:p>
      <w:pPr>
        <w:ind w:left="298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411"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411"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r/>
    </w:p>
    <w:p>
      <w:pPr>
        <w:ind w:left="298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竞争性磋商须知</w:t>
      </w:r>
      <w:r/>
    </w:p>
    <w:p>
      <w:pPr>
        <w:ind w:left="0" w:right="0" w:firstLine="0"/>
        <w:spacing w:before="0" w:after="0" w:line="1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一、总则</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1、适用法律</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《中华人民共和国政府采购法》、《中华人民共和国政府采购法实施条例》、《政府采购竞争性磋商采购方式管理暂行办法》等有关法律、规章和规定等。</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2、定义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“供应商”是指参加磋商竞争，并符合采购文件规定资格条件的法人、其他组织或者自然人。</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“服务”指本采购文件中所述产品及相关服务。</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“用户或使用单位”是指使用服务的单位。</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3、政策功能</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促进中小企业发展。在政府采购活动中，供应商提供的货物、工程或者服务符合下列情形的，享受中小企业扶持政策：</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（1）在货物采购项目中，货物由中小企业制造，即货物由中小企业生产且使用该中小企业商号或者注册商标；</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（2）在工程采购项目中，工程由中小企业承建，即工程施工单位为中小企业；</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（3）在服务采购项目中，服务由中小企业承接，即提供服务的人员为中小企业依照《中华人民共和国劳动合同法》订立劳动合同的从业人员。</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在货物采购项目中，供应商提供的货物既有中小企业制造货物，也有大型企业制造货物的，不享受中小企业扶持政策。</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以联合体形式参加政府采购活动，联合体各方均为中小企业的，联合体视同中小企业。其中，联合体各方均为小微企业的，联合体视同小微企业。</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本项目专门面向中小企业采购，供应商参加政府采购活动，应当出具《中小企业声明函》，否则作为无效标处理。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 促进残疾人就业。残疾人福利性单位提供的产品和服务，在评标时将按照财库〔2017〕141号获得优势，参加投标的残疾人福利性单位，应当提供《残疾人福利性单位声明函》（格式见附件）。</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4、磋商费用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供应商应承担所有与准备和参加磋商有关的费用，无论采购结果如何，代理人和采购人在任何情况下均无义务和责任承担这些费用。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4.服务费:</w:t>
      </w:r>
      <w:r>
        <w:rPr>
          <w:rFonts w:ascii="FangSong" w:hAnsi="FangSong" w:eastAsia="FangSong" w:cs="FangSong"/>
          <w:b/>
          <w:color w:val="000000"/>
          <w:sz w:val="24"/>
        </w:rPr>
        <w:t xml:space="preserve">以项目的中标价为收费基数，招标代理费按【计价格（2002）1980号】标准*39.8%计算，折扣后计算单个项目代理服务费，不足2000元的，按照2000元支付.清单及控制价编制费由供应商参照按照苏价服2014-383号文*48%支付给清单编制单位，以上费用由中标人支付。</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二、响应文件编制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5.1供应商应当按照磋商文件的要求编制响应文件，并对其提交的响应文件真实性、合法性承担法律责任。</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5.2如标书制作工具中格式和内容与“江苏政府采购网”发布的磋商文件不一致，以“江苏政府采购网”发布的磋商文件为准。</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6、响应文件的语言、计量单位、货币和编制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 供应商所使用的计量单位应为国家法定计量单位。</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 供应商应用人民币报价。</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7、响应文件的组成</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（1）★磋商申请及声明；</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（2）★法定代表人授权委托书原件及委托代理人的身份证原件扫描件； </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（3）★第一章磋商邀请中（一）《中华人民共和国政府采购法》规定的资格条件证明文件；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（4）★第一章磋商邀请中（三）采购人根据采购项目的特殊要求规定的特定资格条件证明文件；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（5）★《商务条款偏离表》；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（6）★《磋商报价表》；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（7）★《南京市政府采购供应商信用记录表暨信用承诺书》</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（8）供应商认为需要提供的其他资格证明文件和商务资料。</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（1）★《技术条款偏离表》；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（2）★《分项报价表》；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（3）施工方案；</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（4）供应商认为需要提供的其他技术资料。</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 响应文件的价格部分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（1）价格部分是对服务价格构成的说明，磋商文件如没有特别说明的话，对每一项服务仅接受一个价格。</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（2）报价应包含完成本服务项目发生的所有含税费用、支付给员工的工资和国家强制缴纳的各种社会保障资金，以及供应商认为需要的其他费用等。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（3）供应商应充分考虑到市场价格变动，以及项目实施过程中的不可预见因素，一旦成交，总价格不变。如果有漏项，视同让利。</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（4）经磋商后，如果成交价高于或低于供应商在响应文件首次报价的，分项报价同比例调整。</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 响应文件的其他部分。其他部分由供应商根据编制响应文件需要提供的其他相关文件。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7.6 任何要求对采购文件进行澄清的供应商，应在提交首次响应文件截止时间至少5日前按采购公告中的通讯地址，以书面形式通知代理机构。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7.7采购文件的修改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7.7.2采购文件的修改将在“江苏省政府采购网”公布，补充文件将作为采购文件的组成部分，并对供应商具有约束力。</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8、磋商保证金（本项目不要求提供）</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成交供应商的磋商保证金，将在签订合同后五个工作日内无息退还。</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 下列任何情况发生时，磋商保证金不予退还：</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（1）成交通知书发出后三十日内，成交供应商未与采购人签订合同的；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（2）提供虚假材料谋取成交的；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（3）经查实与采购人、其他供应商恶意串通的等。</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三、响应文件递交</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9、响应文件签署与递交</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9.1 响应文件格式应由供应商法定代表人或授权代表签字并加盖公章的，请供应商法定代表人或授权代表签字并加盖公章并扫描上传至投标系统</w:t>
      </w:r>
      <w:r>
        <w:rPr>
          <w:rFonts w:ascii="FangSong" w:hAnsi="FangSong" w:eastAsia="FangSong" w:cs="FangSong"/>
          <w:color w:val="000000"/>
          <w:sz w:val="24"/>
        </w:rPr>
        <w:t xml:space="preserve">。</w:t>
      </w:r>
      <w:r>
        <w:rPr>
          <w:rFonts w:ascii="FangSong" w:hAnsi="FangSong" w:eastAsia="FangSong" w:cs="FangSong"/>
          <w:b/>
          <w:color w:val="000000"/>
          <w:sz w:val="24"/>
        </w:rPr>
        <w:t xml:space="preserve">供应商应对要求提供的资格证明文件（如资质证书、资格证书）、技术资料（如白皮书、彩页、手册、检测报告等）原件扫描上传至投标系统。</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供应商应当按照《操作手册》规定，按照磋商公告规定，在提交响应文件截止时间前制作并上传电子响应文件。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9.4代理机构可以按照规定，通过修改磋商文件酌情延长提交响应文件截止日期，在此情况下，供应商的所有权利和义务均以延长后新的截止日期为准.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 有下列情形之一的响应文件将拒收：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代理机构拒绝接收提交响应文件截止时间后上传的任何电子响应文件。</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10、响应文件的撤回和修改</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响应文件的撤回</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10.1.1 供应商可在提交响应文件截止时间前撤回其电子响应文件，具体操作方法见《操作手册》。</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10.1.2 供应商撤回电子响应文件，则认为其不再参与本项目磋商活动。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响应文件的修改</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10.2.1 供应商可在提交响应文件截止时间前对其电子响应文件进行修改，具体操作方法见《操作手册》。</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10.2.2 提交响应文件截止时间之后，供应商不得对其电子响应文件作任何修改。</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 在提交响应文件截止时间至磋商文件中规定的磋商有效期满之间的这段时间内，供应商不得撤回其响应文件。</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四、磋商</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11、联合体（本项目不接受联合体投标）</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11.1两个以上的自然人、法人或者其他组织可以组成一个联合体，以一个供应商的身份共同参加政府采购。</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11.2鼓励大中型企业和其他自然人、法人或者其他组织与小型、微型企业组成联合体共同参加非专门面向中小企业的政府采购活动。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w:t>
      </w:r>
      <w:r>
        <w:rPr>
          <w:rFonts w:ascii="FangSong" w:hAnsi="FangSong" w:eastAsia="FangSong" w:cs="FangSong"/>
          <w:color w:val="000000"/>
          <w:sz w:val="24"/>
        </w:rPr>
        <w:t xml:space="preserve">确定。</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 联合体各方之间应当签订联合体协议，明确约定联合体各方承担的工作和相应的责任，并将联合体协议连同响应文件一并提交。</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 以联合体形式参加政府采购活动的，联合体各方不得再单独参加或者与其他供应商另外组成联合体参加同一合同项下的政府采购活动。</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12、开标</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 投标人在开标过程中涉及到的投标文件解密、开标结果确认等工作，应按照《操作手册》规定执行。</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投标人如果对开标过程和开标结果有疑义，应当根据《操作手册》规定提出，苏采云系统中《开标记录表》公布后5分钟内未提出的，视同认可开标结果。</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13、磋商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代理机构将组织磋商小组对响应文件进行评审。</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磋商小组由采购人代表和有关技术、经济等方面的专家组成，且人员构成符合政府采购有关规定。</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 磋商小组独立工作，负责评审所有响应文件并推荐成交候选人，或根据采购人授权直接确定成交供应商。</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14、评审过程的保密与公正</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磋商小组、采购人和代理机构工作人员、相关监督人员等与评审工作有关的人员，对评审情况以及在评审过程中获悉的国家秘密、商业秘密负有保密责任。</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供应商不得以任何方式影响磋商评审，否则其响应文件将被作为无效响应文件。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 代理机构和磋商小组不向未成交的供应商解释未成交原因，也不公布评审过程中的相关细节。</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15、评审过程中的澄清</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项目评审期间，磋商小组有权要求供应商对响应文件中含义不明确、同类问题表述不一致或者有明显文字和计算错误的内容等作出必要的澄清、说明或者补正。</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供应商的澄清、说明或者补正不得超出响应文件的范围或者改变响应文件的实质性内容。</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磋商小组并非对每个供应商都作澄清要求。</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 接到磋商小组澄清、说明和补正要求的供应商如未按规定做出澄清、说明和补正，其风险由供应商自行承担。</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16、响应文件的审查</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响应文件审查分为资格审查和符合性审查。</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16.1.1 资格审查。依据法律法规和磋商文件的规定，磋商小组对响应文件中的资格证明文件进行审查，以确定供应商是否具备参加磋商的资格。</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磋商小组进行资格审查时，将在“信用中国”网站（www.creditchina.gov.cn）查询供应商的信用记录，以确定供应商是否具备磋商资格,查询结果留存并归档。</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接受联合体的项目，联合体成员存在不良信用记录的，视同联合体存在不良信用记录。</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16.1.2 符合性审查。依据磋商文件的规定，由磋商小组从有效性、完整性和对磋商文件的响应程度等方面对响应文件进行审查，以确定是否对磋商文件的实质性要求作出响应。</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16.1.3 未通过资格审查或符合性审查的供应商，磋商小组将通过苏采云系统告知具体原因，评审结束后将不再接受有关询问。</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 未实质性响应磋商文件的情形</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16.3.1 供应商在苏采云系统规定的时间内未成功解密电子响应文件。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16.3.2 供应商未按照磋商文件要求上传电子响应文件。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16.3.3 同一供应商提交两个（含两个）以上不同的响应文件或者最后报价。</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16.3.4 供应商不具备磋商文件中规定资格要求（包括未提供《南京市政府采购供应商信用记录表暨信用承诺书》）。</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16.3.5 供应商的最后报价超过了采购预算或最高限价。</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16.3.6 不符合磋商文件中规定的实质性要求和条件（本磋商文件中斜体且有下划线部分或者打“★”内容，为实质性要求和条件，且包括改变清单设备配置、清单子目数量、单位及清单报价漏项、缺失等）。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16.3.8 响应文件含有采购人不能接受的附加条件。</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16.3.11采购产品被财政部、国家发改委、生态环境部等列入“节能产品品目清单”强制采购范围，而供应商提供的产品不在强制采购范围内。</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16.3.12 响应文件未按照磋商文件要求加盖电子公章。</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16.3.13 法律法规及本磋商文件规定的其他无效响应的情形。</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 未实质性响应磋商文件的响应文件按无效响应处理。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16.5 如果响应文件实质上没有响应磋商文件的要求，磋商小组将予以拒绝，供应商不得通过修改或撤销不合要求的偏离或保留而使其成为实质性响应的文件。</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16.6 供应商在项目评审全过程中应保持通讯畅通，及时登录苏采云系统查阅、答复相关信息，并安排专人与交易中心及磋商小组联系。</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17、磋商程序及评审方法和评审标准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磋商程序</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 评审方法和评审标准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17.2.1 评审方法。经磋商确定最终采购需求和提交最后报价的供应商后，由磋商小组采用综合评分法对提交最后报价的供应商的响应文件和最后报价进行综合评分。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17.2.2 评审标准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17.2.2.2见本磋商文件第三章。</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17.3出现下列情形之一的，磋商终止：</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（1）因情况变化，不再符合规定的竞争性磋商采购方式适用情形的；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（2）所有供应商的响应文件被磋商小组认定为无效的；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（3）在苏采云系统规定时间内成功解密电子响应文件的供应商不足3家；</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（4）出现影响采购公正的违法、违规行为的；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（5）所有供应商的最终报价超过采购预算的；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（6）因重大变故，采购任务取消的；</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（7）采购人需求发生重大变化暂时不能确定或供应商提供的服务不能满足需求等。</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五、成交</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18、确定成交供应商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成交候选供应商的确定原则和数量见磋商文件第三章。</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 按以下第（2）种方式确定成交供应商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（1）磋商小组直接确定排名第一的成交候选供应商为成交供应商；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（2）采购人在磋商小组推荐的成交候选供应商中按顺序确定成交供应商。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 代理机构将在“南京市公共采购信息网”“江苏政府采购网”发布成交结果公告，公告期限为1个工作日。</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 若有充分证据证明成交供应商有下列情况之一的，一经查实将被取消成交资格：</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18.4.1 提供虚假材料谋取成交。</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18.4.2 与评审专家、采购人、其他供应商或者代理机构工作人员恶意串通。</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18.4.3 向评审专家、采购人或代理机构工作人员行贿或者提供其他不正当利益。</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18.4.4 不满足本磋商文件规定的实质性要求，但在评审过程中未被磋商小组发现。</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18.4.5 成交后无正当理由拒不与采购人签订政府采购合同或者未按照磋商文件确定的事项签订政府采购合同。</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18.4.6 将合同标的转包。</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19、成交通知书</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 成交结果确定后，代理机构将向成交供应商发出《成交通知书》。成交供应商可在成交结果公告届满之日起三十日内，登录苏采云系统下载。    </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六、授予合同</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20、签订合同</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20.1成交供应商应当自成交通知书发出之日起三十日内，与采购人签订政府采购合同，所签订的合同不得对磋商文件和响应文件作实质性修改。</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20.2采购人不得向成交供应商提出任何不合理的要求作为签订合同的条件，不得与成交供应商私下订立背离合同实质性内容的协议。</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七、询问、质疑、投诉和诚实信用</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21、询问</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21.1供应商对采购活动事项有疑问的，可以向采购代理提出询问，采购代理将在两个工作日内作出答复，但答复的内容不涉及商业秘密。</w:t>
      </w:r>
      <w:r/>
    </w:p>
    <w:p>
      <w:pPr>
        <w:ind w:left="0" w:right="0" w:firstLine="527"/>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22、质疑</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22.1供应商认为采购文件、采购过程和成交结果使自己的合法权益受到损害的，可以在知道或者应当知道其权益受到损害之日起七个工作日内，将质疑文件原件送达</w:t>
      </w:r>
      <w:r>
        <w:rPr>
          <w:rFonts w:ascii="FangSong" w:hAnsi="FangSong" w:eastAsia="FangSong" w:cs="FangSong"/>
          <w:b/>
          <w:color w:val="000000"/>
          <w:sz w:val="24"/>
        </w:rPr>
        <w:t xml:space="preserve">江苏川页工程项目管理有限公司</w:t>
      </w:r>
      <w:r>
        <w:rPr>
          <w:rFonts w:ascii="FangSong" w:hAnsi="FangSong" w:eastAsia="FangSong" w:cs="FangSong"/>
          <w:color w:val="000000"/>
          <w:sz w:val="24"/>
        </w:rPr>
        <w:t xml:space="preserve">。</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22.2质疑文件应包括以下主要内容，并按照“谁主张、谁举证”的原则，附上相关证明材料。否则，采购代理不予受理：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（1）质疑项目名称、项目编号、包号、采购公告发布时间、磋商时间；</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（2）提起质疑的日期、具体的质疑事项及事实根据（具体条款）；</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（3）认为自己合法权益受到损害或可能受到损害的相关证据材料；</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（4）质疑供应商名称、地址、邮编、联系人、联系电话（包括座机、手机、传真号码等）；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（5）质疑文件应当署名，质疑人为自然人的，应当由本人签字并附有效身份证明；质疑人为法人或其他组织的，应当由法定代表人签字并加盖单位公章；</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（6）供应商委托代理质疑的，应当提交授权委托书，并载明委托代理的具体权限和事项。</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23、投诉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23.1质疑供应商对采购代理的答复不满意，或采购代理未在规定的时间内作出答复的，可以在答复期满后十五个工作日内向采购项目同级财政部门投诉。</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24、诚实信用</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24.1供应商之间不得相互串通报价，不得妨碍其他供应商的公平竞争，不得损害采购人和其他供应商的合法权益。</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24.2供应商不得以向采购代理工作人员、磋商小组成员行贿或者采取其他不正当手段谋取成交。经查实供应商有此行为的，按照《政府采购法》有关规定处理。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24.4供应商不得虚假承诺，否则，按照提供虚假材料谋取成交处理。</w:t>
      </w:r>
      <w:r/>
    </w:p>
    <w:p>
      <w:pPr>
        <w:ind w:left="0" w:right="0" w:firstLine="525"/>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24.5供应商应自觉遵守磋商、评审纪律，扰乱磋商、评审现场秩序的，属于失信行为，根据《江苏省政府采购供应商监督管理暂行办法》，失信行为将被记入供应商诚信档案。</w:t>
      </w:r>
      <w:r/>
    </w:p>
    <w:p>
      <w:pPr>
        <w:ind w:left="0" w:right="246"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60" w:right="60" w:firstLine="0"/>
        <w:jc w:val="center"/>
        <w:spacing w:before="200" w:after="60" w:line="360" w:lineRule="atLeast"/>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jc w:val="both"/>
        <w:spacing w:before="0" w:after="0" w:line="320"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Times New Roman" w:hAnsi="Times New Roman" w:eastAsia="Times New Roman" w:cs="Times New Roman"/>
          <w:sz w:val="24"/>
        </w:rPr>
      </w:r>
      <w:r/>
    </w:p>
    <w:p>
      <w:pPr>
        <w:ind w:left="0" w:firstLine="0"/>
        <w:jc w:val="center"/>
        <w:spacing w:before="0" w:after="0" w:line="320"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7"/>
        </w:rPr>
        <w:t xml:space="preserve">第三章   </w:t>
      </w:r>
      <w:r>
        <w:rPr>
          <w:rFonts w:ascii="SimSun" w:hAnsi="SimSun" w:eastAsia="SimSun" w:cs="SimSun"/>
          <w:b/>
          <w:color w:val="000000"/>
          <w:sz w:val="27"/>
        </w:rPr>
        <w:t xml:space="preserve">评分标准</w:t>
      </w:r>
      <w:r/>
    </w:p>
    <w:p>
      <w:pPr>
        <w:ind w:left="0" w:right="6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一、评标方法：</w:t>
      </w:r>
      <w:r/>
    </w:p>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评审过程中出现下列情形之一的，评审委员会应当启动异常低价投标（响应）审查程序：</w:t>
      </w:r>
      <w:r/>
    </w:p>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1．投标（响应）报价低于采购项目预算50%的，即投标（响应）报价&lt;采购项目预算×50%；</w:t>
      </w:r>
      <w:r/>
    </w:p>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2．投标（响应）报价低于采购项目最高限价45%的，即投标（响应）报价&lt;采购项目最高限价×45%；</w:t>
      </w:r>
      <w:r/>
    </w:p>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评审委员会认定的供应商报价过低、有可能影响产品质量或者不能诚信履约的其他情形。</w:t>
      </w:r>
      <w:r/>
    </w:p>
    <w:p>
      <w:pPr>
        <w:ind w:left="0" w:right="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0"/>
        <w:spacing w:before="0" w:after="0" w:line="85"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二、评分标准说明：</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719"/>
        <w:gridCol w:w="578"/>
        <w:gridCol w:w="1634"/>
        <w:gridCol w:w="5663"/>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竞争性磋商文件要求且投标价格最低的投标报价为评标基准价，其价格分为满分。其他供应商的价格分统一按照下列公式计算:投标报价得分=(评标基准价/投标报价)×80（小数点保留两位）</w:t>
            </w:r>
            <w:r/>
          </w:p>
        </w:tc>
      </w:tr>
      <w:tr>
        <w:trPr>
          <w:trHeight w:val="2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项目管理机构（11分）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（1）项目技术负责人具有机电工程专业注册建造师二级(含)以上的，得3分，同时具备有效的安全生产考核B类证及中级工程师(含)以上职称的得2分，最多得5分；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（2）项目组成员（项目技术负责人、项目经理除外）具有安全员、质检（质量）员、施工员，每提供一个得2分，最高得6分。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（以上人员提供相关有效证书复印件加盖公章及社保机构出具的近半年（2025年6月-2025年11月）中其中任意一个月投标供应商为其缴纳的社保缴费证明【加盖社保公章或具有可验证的二维码（或验证码）】。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备注：以上人员不得重复计分。</w:t>
            </w:r>
            <w:r/>
          </w:p>
        </w:tc>
      </w:tr>
      <w:tr>
        <w:trPr>
          <w:trHeight w:val="4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（1）项目经理自2022年12月1日（含）以来承担过类似消防改造施工业绩的。每提供一个得3分，最高得3分。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（2）投标供应商自2022年12月1日（含）以来承担过类似消防改造施工业绩的。每提供一个得3分，最高得6分。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（业绩必须同时提供下列证明材料复印件并加盖公章：提供施工合同、合同工程完工验收证明材料复印件加盖供应商公章，二者缺一不可）。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备注：项目经理业绩与投标供应商业绩不可兼得。</w:t>
            </w:r>
            <w:r/>
          </w:p>
        </w:tc>
      </w:tr>
      <w:tr>
        <w:trPr>
          <w:trHeight w:val="22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4" w:type="dxa"/>
            <w:vAlign w:val="bottom"/>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firstLine="0"/>
        <w:jc w:val="center"/>
        <w:spacing w:before="0" w:after="0" w:line="320"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7"/>
        </w:rPr>
        <w:t xml:space="preserve">第四章  </w:t>
      </w:r>
      <w:r>
        <w:rPr>
          <w:rFonts w:ascii="SimSun" w:hAnsi="SimSun" w:eastAsia="SimSun" w:cs="SimSun"/>
          <w:b/>
          <w:color w:val="000000"/>
          <w:sz w:val="27"/>
        </w:rPr>
        <w:t xml:space="preserve">采购项目需求</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建设地点位于：本工程为南京交通技师学院金陵实训基地消防设施维修改造工程。项目地址主要位于南京交通技师学院金陵实训基地校区（江宁区淳化街道七里岗177号），人才公寓等部分建筑位于南京交通技师学院本部校区（栖霞区马群狮子坝168号）。</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2、计划工期：详见招标文件。</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3、施工现场实际情况：详见招标文件。</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二、工程招标范围：</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详见招标文件说明及工程量清单。</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三、工程量清单编制依据：</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1、建设单位提供的施工图。</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2、中华人民共和国建设部《建设工程工程量清单计价规范》GB50500-2013；《房屋建筑与装饰工程工程量计算规范》GB50854-2013及其他配套工程量计算规范</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3、江苏省住房和城乡建设厅苏建价（2014）448号《关于&lt;建设工程工程量清单计价规范&gt;（GB50500-2013）及其9本工程量计算规范的贯彻意见》。</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4、《江苏省建筑与装饰工程计价定额》（2014年）、《江苏省建设工程费用定额》（2014年）及营改增后调整内容。</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5、江苏省住房和城乡建设厅苏建价〔2016〕154号《关于建筑业实施营改增后江苏省建设工程计价依据调整的通知》及其调整文件。</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6、江苏省住房和城乡建设厅〔2018〕第24号《关于调整建设工程按质论价等费用计取方法的公告》。</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7、江苏省住房和城乡建设厅苏建函价〔2019〕178号《关于调整建设工程计价增值税税率的通知》。</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8、江苏省住房和城乡建设厅〔2019〕第19号关于建筑工人实名制费用计取方法的公告。</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9、江苏省住房和城乡建设厅〔2021〕第16号关于智慧工地费用计取方法的公告。</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10、最高投标限价人工工资标准按苏建函价[2025]273号文件，材料价格按2025年11月份南京市建设工程材料信息指导价，缺项部分材料价格按市场询价，投标报价由投标人自行考虑计入。</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11、拟定的招标文件。</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12、与建设项目相关的标准、规范、技术资料以及其他相关标准图集、现行预结算文件。</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13、施工现场情况、工程特点及常规施工方案。</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四、暂列金额：详见招标文件。</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五、甲供材及暂估价材料：详见招标文件。</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六、专业工程暂估价：详见招标文件。</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七、清单说明事项:</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13计价规范”中注明的工程内容，承包人在报价时应充分考虑“工程内容”而产生的费用，列入相应报价中。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2、各投标人在投标报价时自行考虑扬尘污染防治措施及其费用，相关条例及处罚规定按照市相关文件规定执行。</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单位于投标前必须自行踏勘现场，充分了解并分析施工条件；工程施工所需水、电、路、渣土堆放、施工便道修建等是否满足施工需求，承包人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投标人在投标报价中予以考虑，结算时概不调整。</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人根据招标文件给定的工期进行投标，且应充分考虑本工程所处地区的自然气候、人文地理条件等原因导致的工期影响、机械停滞、多次进退场、裸土覆盖、停工期间现场管理等，自行考虑相关措施，所有费用计入报价，包干使用，一旦中标，不再调整此类费用。</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人必须综合考虑政府行政管理部门的有关政府性要求和变化综合考虑可能产生的相关费用，如社会活动、防洪防汛防灾、环境整治、公共安全治理等引起的停工、窝工、机械停滞费、降效等损失和费用增加等，招标人将不做任何费用补偿和费用调整；若政府出台新文件的执行相关新文件内容。</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施工水电费用计算和结算：招标人提供现场水电的接入点，具体以目前现场条件为准，承包人应充分考虑驳接和临时停水、停电；水电(申报)挂表计量，按施工用水电市场价结算，满足建设单位管理要求，具体以建设单位现行规定为准。承包人在投标报价时自行考虑临时水电价格的波动对工程造价的影响，结算时不予调整。同时要求投标人充分考虑今后市场价格风险和临时停水、停电、供电水负荷不足，采取自取（发）水电等保障措施的，其费用均含在投标报价中，结算时凡涉及此类费用均不调整。</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7、市容、环保（含夜间施工）等协调费用一并计入报价，施工垃圾外运由承包方自理，满足建设单位管理要求。</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投标人应充分了解本项目性质、学校管理制度及地理位置，所需人员、机械、材料的超常规运费等增加费用，应在综合单价中考虑。投标人应充分考虑保证机械正常运转的措施费用，含场地硬化(回填道碴、钢板等)措施等，结算时不另外增加费用。</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9、施工期间相邻建筑物、道路、树木等保护及风险费用投标人综合考虑并自行报价，结算时不予调整。</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10、投标人需结合现场情况在投标报价中综合考虑外部道路运输的保护、安全围护、清理以及交通管制产生的措施及降效等费用，结算时不因运输问题增加任何费用。</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十、有关图纸及工程量计算的说明：</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1、投标单位综合考虑使用脚手架，含在垂直运输措施费报价中，结算时不得调整，未报视同让利。</w:t>
      </w:r>
      <w:r/>
    </w:p>
    <w:p>
      <w:pPr>
        <w:ind w:left="413" w:right="0"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十一、其他须说明的问题及特别提醒：</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2、总价措施项目清单中的安全文明施工措施费（基本费、扬尘污染防治增加费）,并按工程量清单规定的费率进行报价。单价措施费均已由投标人在投标报价中充分考虑，结算时均不调整。</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3、本工程中投标人的所有清单报价内容须包含完成该项工作所需的材料费用（含主材及配件、辅材及其损耗）。</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5"/>
        <w:gridCol w:w="2757"/>
        <w:gridCol w:w="3122"/>
        <w:gridCol w:w="2560"/>
      </w:tblGrid>
      <w:tr>
        <w:trPr>
          <w:trHeight w:val="524"/>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材料推荐品牌表</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设备材料名称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推荐品牌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盼盼、中泰、华新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消防、人防部门认可产品</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门窗铝型材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凤铝、海螺、伟业、伟昌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防水材料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东方雨虹、金雨伞、科顺、卓宝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门窗五金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s://www.baidu.com/s?rsv_dl=re_dqa_generate&amp;sa=re_dqa_generate&amp;wd=Hettich%E6%B5%B7%E8%92%82%E8%AF%97&amp;rsv_pq=b0d2479e00015058&amp;oq=%E9%97%A8%E7%AA%97%E4%BA%94%E9%87%91%E5%93%81%E7%89%8C&amp;rsv_t=09b8Wn0JjUAWROhBEVSlvpZVkz6wwTwZJQpiTqF5odpLkzEmzHVmAr5PSPu4wY4Gz8qeAPjO8jmI&amp;tn=40020637_19_oem_dg&amp;ie=utf-8" w:history="1">
              <w:r>
                <w:rPr>
                  <w:rStyle w:val="815"/>
                  <w:rFonts w:ascii="FangSong" w:hAnsi="FangSong" w:eastAsia="FangSong" w:cs="FangSong"/>
                  <w:color w:val="0000ee"/>
                  <w:sz w:val="21"/>
                  <w:highlight w:val="white"/>
                  <w:u w:val="none"/>
                </w:rPr>
                <w:t xml:space="preserve">Hettich海蒂诗</w:t>
              </w:r>
            </w:hyperlink>
            <w:r>
              <w:rPr>
                <w:rFonts w:ascii="FangSong" w:hAnsi="FangSong" w:eastAsia="FangSong" w:cs="FangSong"/>
                <w:color w:val="222222"/>
                <w:sz w:val="21"/>
                <w:highlight w:val="white"/>
              </w:rPr>
              <w:t xml:space="preserve">‌、</w:t>
            </w:r>
            <w:hyperlink r:id="rId11" w:tooltip="https://www.baidu.com/s?rsv_dl=re_dqa_generate&amp;sa=re_dqa_generate&amp;wd=%E5%9D%9A%E6%9C%97Kinlong&amp;rsv_pq=b0d2479e00015058&amp;oq=%E9%97%A8%E7%AA%97%E4%BA%94%E9%87%91%E5%93%81%E7%89%8C&amp;rsv_t=09b8Wn0JjUAWROhBEVSlvpZVkz6wwTwZJQpiTqF5odpLkzEmzHVmAr5PSPu4wY4Gz8qeAPjO8jmI&amp;tn=40020637_19_oem_dg&amp;ie=utf-8" w:history="1">
              <w:r>
                <w:rPr>
                  <w:rStyle w:val="815"/>
                  <w:rFonts w:ascii="FangSong" w:hAnsi="FangSong" w:eastAsia="FangSong" w:cs="FangSong"/>
                  <w:color w:val="0000ee"/>
                  <w:sz w:val="21"/>
                  <w:highlight w:val="white"/>
                  <w:u w:val="none"/>
                </w:rPr>
                <w:t xml:space="preserve">坚朗Kinlong</w:t>
              </w:r>
            </w:hyperlink>
            <w:r>
              <w:rPr>
                <w:rFonts w:ascii="FangSong" w:hAnsi="FangSong" w:eastAsia="FangSong" w:cs="FangSong"/>
                <w:color w:val="222222"/>
                <w:sz w:val="21"/>
                <w:highlight w:val="white"/>
              </w:rPr>
              <w:t xml:space="preserve">、‌</w:t>
            </w:r>
            <w:hyperlink r:id="rId12" w:tooltip="https://www.baidu.com/s?rsv_dl=re_dqa_generate&amp;sa=re_dqa_generate&amp;wd=Topstrong%E9%A1%B6%E5%9B%BA&amp;rsv_pq=b0d2479e00015058&amp;oq=%E9%97%A8%E7%AA%97%E4%BA%94%E9%87%91%E5%93%81%E7%89%8C&amp;rsv_t=09b8Wn0JjUAWROhBEVSlvpZVkz6wwTwZJQpiTqF5odpLkzEmzHVmAr5PSPu4wY4Gz8qeAPjO8jmI&amp;tn=40020637_19_oem_dg&amp;ie=utf-8" w:history="1">
              <w:r>
                <w:rPr>
                  <w:rStyle w:val="815"/>
                  <w:rFonts w:ascii="FangSong" w:hAnsi="FangSong" w:eastAsia="FangSong" w:cs="FangSong"/>
                  <w:color w:val="0000ee"/>
                  <w:sz w:val="21"/>
                  <w:highlight w:val="white"/>
                  <w:u w:val="none"/>
                </w:rPr>
                <w:t xml:space="preserve">Topstrong顶固</w:t>
              </w:r>
            </w:hyperlink>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1"/>
                <w:highlight w:val="white"/>
              </w:rPr>
              <w:t xml:space="preserve">‌</w:t>
            </w:r>
            <w:r>
              <w:rPr>
                <w:rFonts w:ascii="FangSong" w:hAnsi="FangSong" w:eastAsia="FangSong" w:cs="FangSong"/>
                <w:color w:val="000000"/>
                <w:sz w:val="21"/>
              </w:rPr>
              <w:t xml:space="preserve">立邦、多乐士、三棵树</w:t>
            </w:r>
            <w:r>
              <w:rPr>
                <w:rFonts w:ascii="FangSong" w:hAnsi="FangSong" w:eastAsia="FangSong" w:cs="FangSong"/>
                <w:color w:val="333333"/>
                <w:sz w:val="21"/>
                <w:highlight w:val="whit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雨虹、德高、西卡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配电箱及元器件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正泰、德力西、人民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灯具、开关、插座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欧普、正泰、雷士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spacing w:before="0" w:after="0" w:line="57" w:lineRule="atLeast"/>
            </w:p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电线、电缆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远东、江南、宝胜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钢丝网骨架塑料管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公元、联塑、中财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天津友发、无锡湖光、浙江金洲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沪工、埃美柯、优嘉龙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消防水泵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蓝工、凯泉、成峰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消防水箱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美通、嘉禾、君如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消火栓、灭火器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友安、淮海、双龙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720"/>
        <w:spacing w:before="0" w:after="0" w:line="85" w:lineRule="atLeast"/>
        <w:tabs>
          <w:tab w:val="left" w:pos="106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pStyle w:val="661"/>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四、其它商务要求：</w:t>
      </w:r>
      <w:r/>
    </w:p>
    <w:p>
      <w:pPr>
        <w:ind w:left="0" w:right="0" w:firstLine="480"/>
        <w:spacing w:before="0" w:after="0" w:line="85" w:lineRule="atLeast"/>
        <w:tabs>
          <w:tab w:val="left" w:pos="1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及施工管理人员必须常驻现场，每周不少于5个工作日，每天不少于8小时。现场进行每日三次打卡考勤，如缺席，每人每次罚款1000元，上不封顶，建设单位有权从任意一期支付的工程款中直接扣除。</w:t>
      </w:r>
      <w:r>
        <w:rPr>
          <w:rFonts w:ascii="SimSun" w:hAnsi="SimSun" w:eastAsia="SimSun" w:cs="SimSun"/>
          <w:b/>
          <w:color w:val="000000"/>
          <w:sz w:val="24"/>
        </w:rPr>
        <w:t xml:space="preserve">（请各投标单位提供承诺书加盖公章，如未提供作为无效标处理）承诺书格式自拟。</w:t>
      </w:r>
      <w:r/>
    </w:p>
    <w:p>
      <w:pPr>
        <w:ind w:left="0" w:right="0" w:firstLine="480"/>
        <w:spacing w:before="0" w:after="0" w:line="85" w:lineRule="atLeast"/>
        <w:tabs>
          <w:tab w:val="left" w:pos="1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2、施工期间必须遵守建设单位要求，符合招标文件《第四章采购项目需求》的各项条件。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3、主材进场需提供相关品牌、质保资料，并经过甲方同意后放可使用。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4、施工完成后，需进行消防水管加压实验，符合相关设计要求。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5、竣工验收要求：通过建设方组织的竣工验收，并通过建设方委托的消防评估单位的消防安全评估。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rPr>
          <w:rFonts w:ascii="SimSun" w:hAnsi="SimSun" w:eastAsia="SimSun" w:cs="SimSun"/>
          <w:color w:val="000000"/>
          <w:sz w:val="24"/>
        </w:rPr>
        <w:t xml:space="preserve"> </w:t>
      </w: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合同草案条款</w:t>
      </w:r>
      <w:r/>
    </w:p>
    <w:p>
      <w:pPr>
        <w:ind w:left="600" w:right="0" w:firstLine="120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00" w:right="0" w:firstLine="120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合同编号：</w:t>
      </w:r>
      <w:r>
        <w:rPr>
          <w:rFonts w:ascii="SimSun" w:hAnsi="SimSun" w:eastAsia="SimSun" w:cs="SimSun"/>
          <w:b/>
          <w:color w:val="000000"/>
          <w:sz w:val="30"/>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（GF—2017—0201）</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建设工程施工合同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制定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住房和城乡建设部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国家工商行政管理总局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合同协议书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根据《中华人民共和国民法典》、《中华人民共和国建筑法》及有关法律规定，遵循平等、自愿、公平和诚实信用的原则，双方就工程施工及有关事项协商一致，共同达成如下协议：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一、工程概况</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（具体内容详见图纸及工程量清单）。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二、合同工期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工期总日历天数：天。工期总日历天数与根据前述计划开竣工日期计算的工期天数不一致的，以工期总日历天数为准。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三、质量标准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工程质量符合国家质量验收合格标准。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四、签约合同价与合同价格形式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  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  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  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  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  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六、合同文件构成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七、承诺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八、词语含义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九、签订时间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  年月日签订。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十、签订地点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  签订。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十一、补充协议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十二、合同生效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  生效。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十三、合同份数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  份，均具有同等法律效力，发包人执份，承包人执份。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发包人名称：                                            承包人名称：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                                                （盖章）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                              法定代表人或授权代理人：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                                                   （签字）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           住所：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            邮编：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             传   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                                                  银行账号：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通用合同条款</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此部分采用《建设工程施工合同》范本（GF-2017-0201）中《第二部分  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 专用合同条款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一般约定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1.1.1.10其他合同文件包括：（1）合同协议书；（2）中标通知书；（3）投标函；（4）专用条款；（5）通用条款（6）技术标准和要求；（7）图纸；（8）工程量清单及招标控制价；（9）其他文件。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临时占地包括：施工场地周围道路。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中华人民共和国合同法》、《中华人民共和国建筑法》、《中华人民共和国招投标法》、《建设工程质量管理条例》、《中华人民共和国招标投标法实施条例》、七部委第12号令《评标委员会和评标方法暂行规定》、七部委第30号令《工程建设项目施工招标投标办法》及现行国家、行业、专业和南京市的有关标准、规范、规定和条例所阐明的强制性标准。当对同一考核指标国家、行业、专业和南京市颁布的有关标准、规范产生不一致时，以其颁布的标准、规范较为严格者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合同文件组成及优先顺序为：本合同协议书；中标通知书；投标书及其附件；合同专用条款；合同通用条款；标准、规范及有关技术文件；图纸；工程报价单或预算书。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发包人向承包人提供图纸的期限：开工前5天；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发包人向承包人提供图纸的数量：开工前提供全套施工图肆套(含竣工图贰套)；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发包人向承包人提供图纸的内容：招标范围内各专业。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需要由承包人提供的文件，包括：详细的施工组织设计和施工进度计划等发包人要求的文件；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承包人提供的文件的期限为：签订合同后7天内；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承包人提供的文件的数量为：满足发包人和监理人要求；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承包人提供的文件的形式为：纸质文件及电子版文件（纸质文件和电子版文件内容须一致）；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发包人审批承包人文件的期限：自收到文件后7天内。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关于现场图纸准备的约定：承包人应在施工现场另外保存一套完整的图纸和承包人文件，供发包人、监理人及有关人员进行工程检查时使用。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1.7.1发包人和承包人应当在3天内将与合同有关的通知、批准、证明、证书、指示、指令、要求、请求、同意、意见、确定和决定等书面函件送达对方当事人。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发包人接收文件的地点：项目现场；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承包人接收文件的地点：项目现场；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监理人接收文件的地点：项目现场；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关于出入现场的权利的约定：只有项目施工人员办理许可证才能进入施工现场，其他无关人员一律不能进入施工现场，如果擅自进入现场，由此而产生的后果由承包人自行负责。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关于场外交通和场内交通的边界的约定：根据现场情况，按发包人要求。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关于发包人向承包人免费提供满足工程施工需要的场内道路和交通设施的约定：无。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1.11.1关于发包人提供给承包人的图纸、发包人为实施工程自行编制或委托编制的技术规范以及反映发包人关于合同要求或其他类似性质的文件的著作权的归属：图纸属设计院、其他属发包人。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关于发包人提供的上述文件的使用限制的要求：仅限于此工程项目。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关于承包人为实施工程所编制文件的著作权的归属：属承包人。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关于承包人提供的上述文件的使用限制的要求：仅限于此工程项目。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出现工程量清单错误时，是否调整合同价格：否，在竣工结算时调整最终结算价。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允许调整合同价格的工程量偏差范围：合同价格按实际完成的工程量结算。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发包人对发包人代表的授权范围如下：全面负责现场协调及管理。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关于发包人移交施工现场的期限要求：签订合同，签署开工令后3日内。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（1）施工场地具备施工条件的要求及完成的时间：施工场地已具备一定的施工条件，若有不全事项承包人自行完善，费用已包含在报价内。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（2）将施工所需的水、电、电讯线路接至施工场地的时间、地点和供应要求： a、临时用电由发包人提供至箱式变压器出线端。临时用水由发包人提供至工地现场自来水接入口。电讯线路发包人不提供。施工期间水电线路、设施交承包人使用和管理，若发生损坏承包人需修复，费用由承包人负责。b、施工用水、电： 开工前接至施工现场且挂表计量，各分支计量箱、表由承包人自备，施工用水、电和生活用水、电均按市场价在进度款中扣回，总表及分表之间的误差将根据各分表进行加权分摊。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（3）施工场地与公共道路的通道开通时间和要求： 开工前，承包人的施工交通和材料运输与堆放必须服从监理、市政、交通、市容等政府部门的管理规定，发包人不对该项工作承担任何责任。施工场地与公共道路的通道,由承包人自行解决。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（4）工程地质和地下管线资料的提供时间： 承包人认为必须的，提前7天要求发包人提供，发包人开工前三天提供；否则由此产生的一切后果由承包人承担。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（5）由发包人办理的施工所需证件、批件的名称和完成时间： 开工前办妥相关开工手续，承包人配合。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（6）水准点与座标控制点交验要求： 开工前,根据经工程师确认的施工进度计划，开工前三天由发包人、承包人、监理现场交验；按通用条款执行，水准点、坐标控制点交验完毕，即由承包方负责保护，此后由于破坏或失准带来的重新测量、放点费用及其他损失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（7）图纸会审和设计交底时间：开工前一周内，具体时间由承包人书面提出。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（8）协调处理施工场地周围地下管线和邻近建筑物、构筑物（含文物保护建筑）、古树名木的保护工作：  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（9）双方约定发包人应做的其他工作： 由发包人委托，承包人不得拒绝。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发包人是否提供支付担保：否。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承包人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工程建设项目竣工验收前，承包人应根据合同工作内容要求，整理竣工验收资料（含竣工图、竣工结算资料、设计变更、签证等），汇总为完整的建设项目竣工资料一式伍套报发包人。否则每迟一天，承包人每日向发包人支付5000元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承包人需要提交的竣工资料套数：肆套。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承包人提交的竣工资料的费用承担：自行承担。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承包人提交的竣工资料移交时间：工程竣工28天内。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承包人提交的竣工资料形式要求：书面、电子。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应履行的其他义务：施工期间保证场内场外相邻道路的畅通，安全防护减少噪音干扰和灰尘处理；负责修建、维修、养护和管理施工所需的临时道路（路基要求压实，能够满足材料运输车辆的行走）、管线、临时设施和交通设施，包括维修、养护和管理发包人提供的道路、管线、临时设施和交通设施，并承担相应费用。承包人修建的临时道路和交通设施应免费提供给发包人和监理使用；未尽事宜双方协商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投标中明确的项目经理不得挂名，否则按违约处理。项目经理和项目部主要技术、管理人员，未经发包人同意不得擅自变更，开工时或施工过程中若未经发包人同意擅自变更，发包人有权解除合同，未经发包人同意，承包人更换项目经理必须支付10万元的违约金。违约金不足以弥补承包人因此给发包人造成的损失，承包人还应当赔偿损失。签订合同前，承包人必须将报名本工程的项目经理证书原件交发包人保管，工程主体完工后方可取回。</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关于项目负责人每月在施工现场的时间要求：承包人的项目经理必须每周不少于5日、每天不少于8小时在本工程现场组织、安排施工，重大的的分部分项并有特殊安全要求的施工项目，项目经理还必须在现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负责人缴纳社会保险证明的违约责任：承包人未提交劳动合同，以及没有为项目负责人缴纳社会保险证明的违约责任：发包人将给予5万元的经济处罚，同时发包人有权要求更换项目经理，由此增加的费用和（或）延误的工期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未经批准，擅自离开施工现场的违约责任：项目负责人未经批准，擅自离开施工现场的违约责任：项目经理离开工地需经发包人及总监理工程师同意，若无正当理由且未经发包人及总监理工程师的同意不在工地现场的，发现一次罚款5000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负责人的违约责任：中标后投标文件所报的项目部的项目经理必须长驻现场，若发生更换，则视为违约，发包人保留对其承包人处以工程总价0.5％的违约金的权利。发包人有权要求承包人撤换调整发包人认为不称职的项目经理及项目部成员，新项目经理及其他项目部主要成员人选须经发包人审核同意，项目经理必须采取有效措施保证在整个施工期间现场有足够的劳力、材料、设备，保证工程顺利实施，并不受节假日的影响，否则视为项目经理失职，发包人有权要求承包人支付10000元/次的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负责人的违约责任：如出现以上情况或其他违约，发包人有权要求承包人撤换调整其认为不称职的项目负责人及项目部成员，承包人拒绝的，发包人有权解除合同，并追究承包人的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承包人提交项目管理机构及施工现场管理人员安排报告的期限：开工前一周。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承包人无正当理由拒绝撤换主要施工管理人员的违约责任：发包人有权要求承包人撤换调整其认为不称职的项目经理及项目部成员，承包人拒绝的，发包人有权解除合同，并追究承包人的违约责任。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承包人主要施工管理人员离开施工现场的批准要求：承包人主要施工管理人员离开工地需经发包人及总监理工程师同意，若无正当理由且未经发包人及总监理工程师的同意不在工地现场的，发现一次罚款2000元。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3.3.5承包人擅自更换主要施工管理人员的违约责任：投标文件中及合同中明确的项目经理和各专业人员不得擅自变更，开工时或施工过程中若有擅自变更，发包人有权解除合同，并追究承包人的违约责任。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承包人主要施工管理人员擅自离开施工现场的违约责任：中标后投标文件所报的项目部的质量员、施工员、造价员、安全员等主要人员必须长驻现场，若发生主要人员的更换，则视为违约，发包人保留对其承包人处以工程总价0.2％的违约金的权利。发包人有权要求承包人撤换调整发包人认为不称职的项目部成员，新项目部主要成员人选须经发包人审核同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禁止分包的工程包括：主体、关键性工作。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主体结构、关键性工作的范围：本协议约定的所有施工内容。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3.5.2分包的确定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其他关于分包的约定：须经发包人书面同意。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承包人负责照管工程及工程相关的材料、工程设备的起始时间：工程全部成品、半成品在竣工验收交付前均由承包人负责管理、保护，费用含在承包人工程报价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承包人是否提供履约担保：否。 </w:t>
      </w: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监理人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关于监理人的监理内容：依据本合同第4.2条及《监理合同》。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关于监理人的监理权限：详见监理合同。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关于监理人在施工现场的办公场所、生活场所的提供和费用承担的约定：详见监理合同。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监理工程师的职责：1、工程变更（含设计变更及工程量变更）及现场签证单；2、工期顺延及费用索赔的认可或确认；3、承包人付款的审核及确认（含索赔）；4、开工/停工（在紧急状态下的情况除外）/复工/竣工指令。5、分包单位的确定； 6、材料设备价格及品牌的认定。监理工程师下达给承包人或其项目负责人的任何涉及工程造价的指示，必须得到跟踪审计的书面认可，该指示于发包人批准之日起有效。监理工程师的职责包含以上内容，但不限于以上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 按《监理合同》执行 ，按招标文件和有关规范规定的各种材料检验、工艺试验等必须按规定实施，由承包人提供法定检测机构出具的试验合格证书，所需费用包含在合同价中。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工程质量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特殊质量标准和要求：1、符合现行国家有关验收标准，并达到招标要求的质量等级标准。2、 材料质量要求：符合国际现行的产品标准规定，并附有出厂合格证明，严禁使用不合格和过期材料和附件。无论总监理工程师是否进行并通过了各项检验，均不解除承包人对自己承包的工程的质量所负责任，承包人开工前应认真核对设计图纸与现场情况,清楚整个设计图纸内容、要求、原则和做法,否则出现设计原因导致质量问题的后果由承包人承担。在采用承包人设计的施工图纸施工时，设计引起的质量责任由承包人承担。无论工程材料是由承包人自行供应或是由</w:t>
      </w:r>
      <w:r>
        <w:rPr>
          <w:rFonts w:ascii="SimSun" w:hAnsi="SimSun" w:eastAsia="SimSun" w:cs="SimSun"/>
          <w:color w:val="000000"/>
          <w:sz w:val="24"/>
        </w:rPr>
        <w:t xml:space="preserve">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按招标文件和有关规范规定的各种材料检验、工艺试验等必须按规定实施，由承包人提供法定检测机构出具的试验合格证书，所需费用包含在合同价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 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2、本工程质量要求：承包人的施工质量等级应符合国家质量验收标准并应通过有关部门验收合格。</w:t>
      </w:r>
      <w:r>
        <w:rPr>
          <w:rFonts w:ascii="SimSun" w:hAnsi="SimSun" w:eastAsia="SimSun" w:cs="SimSun"/>
          <w:color w:val="000000"/>
          <w:sz w:val="24"/>
        </w:rPr>
        <w:t xml:space="preserve">若为不合格工程，承包人应向发包人支付工程总造价的10％的质量违约金，且对由此造成的一切损失及法律责任负责。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4、承包人应严格按照施工规范、技术规程以及经监理工程师和发包人审核批复的实施性施工组织设计精心组织施工，确保工程质量。若承包人阶</w:t>
      </w:r>
      <w:r>
        <w:rPr>
          <w:rFonts w:ascii="SimSun" w:hAnsi="SimSun" w:eastAsia="SimSun" w:cs="SimSun"/>
          <w:color w:val="000000"/>
          <w:sz w:val="24"/>
        </w:rPr>
        <w:t xml:space="preserve">段性工程质量或者过程性工程质量有2次及以上不符合设计要求或者达不到工程质量合格标准，则发包人有权解除合同。5、承包人在发生工程质量问题时，隐瞒监理工程师及发包人，或有偷工减料行为、使用假冒伪劣产品行为，除及时进行整改外另需向发包人支付50000元/次的质量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发包人及监理人不能按时进行检查时，应提前8小时提交书面延期要求。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关于延期最长不得超过：24小时。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安全文明施工与环境保护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除执行通用条款的相关规定外，承包人必须按照江苏省、南京市相关文件规定的标准实行文明施工管理，对施工现场的安全施工负总责，专业工程承包单位应当服从总承包单位的文明施工管理；注重安全保障，因此发生的费用（包括造成发包人工期延误，并由此产生的全部损失）由承包方承担。承包人应做好安全教育,现场安全交底和安全管理体系并认真检查落实,确保安全,因施工发生的直接或间接安全事故匀由承包人承担由此发生的所有损失并承担相应的法律责任。   1）施工现场应围挡整齐，沿街及重要部</w:t>
      </w:r>
      <w:r>
        <w:rPr>
          <w:rFonts w:ascii="SimSun" w:hAnsi="SimSun" w:eastAsia="SimSun" w:cs="SimSun"/>
          <w:color w:val="000000"/>
          <w:sz w:val="24"/>
        </w:rPr>
        <w:t xml:space="preserve">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施工现场布局及工序安排应考虑噪声、照明控制，严格按照江苏省、南京市有关规定执行，避免扰民；施工现场必须设置专用厕所，并有专人管理，严禁随意大小便；生活、生产废水及施工降水未处理合格，不得排入市政下水；不得破坏树木、绿地；土方等建筑垃圾等外运工程，严格按程序操作，不得遗洒，同时应有避免扬尘的措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3）施工人员必须办理相关证件，禁止非施工单位人员在工地留宿，施工现场禁止聚众打牌、饮酒闹事、传阅淫秽物品、吸毒等；禁止施工人员在非施工区随意走动，严禁发生冲突。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4）施工车辆进出时注意交通安全，必须缓速行驶，必须封路施工时，须征得发包人及有关主管部门的批准，并在路口设置明显的提示标志。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从工程款扣除违约金200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8）各种施工机械的合格证、检测证及安全防护装置齐全。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9）承包人现场应有专门负责安全、文明施工的管理人员，定期检查，发现问题及时整改；对发包人及监理提出的其他有关安全、文明施工等方面问题必须积极配合，认真履行。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施工期间，承包人应及时整理和安排所有机械、工具、材料、建筑垃圾等，工程建设中每个楼层的多余材料、建筑垃圾必须通过井架或垃圾槽运输到地面，严禁从高空直接向下抛物，否则，乙方每次向发包人支付违约金1000元；以上物品在不需用时应按发包人要求清理出工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11）施工现场各类垃圾应当天清理，否则由发包人指派人员清理，清理费用从工程款中扣除。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12）严禁在绿地上堆物及行走或严禁污染绿地，一旦发现，即扣除违约金500元/次，而无须任何确认手续即可生效。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13）发包人或监理有权对承包人的违章现象提出整改通知后2小时内未采取相应整改措施，每次支付违约金500元。累计3次后，每次支付违约金2000元。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14）施工期间由于承包人原因造成人员伤亡或财产损失而导致停工，承包人应按停工时间支付10000元/天的违约金。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15）施工期间由于承包人违反安全操作规程，被政府有关部门处罚，如通报、批评、警告和罚款等，承包人应支付5000元/次的违约金。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16）施工期间由于承包人施工过程中所造成的一切安全事故，人员伤亡等，承包人承担所有责任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17）施工期间，承包人要注意对现场原有的设施保护，如在施工过程中由于施工造成的设施破坏造成的费用由承包人自行承担。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关于治安保卫的特别约定：1、 现场采取必要的安全保卫措施.施工现场的主要管理人员在施工现场应当佩戴证明其身份的证卡,其它现场施工人员宜有标识；2、 建立和执行防火管理制度.在火灾易发地区(木工房等)施工或储存使用易燃器材时,应采取特殊消防安全措施,现场严禁吸烟；3、施工现场的通道、消防出入口、紧急疏散处等均应有明显标志或指示牌。有高度限制的地点应有限高标志，各种车辆进入施工现场，必须服从发包人的统一管理和遵守有关规定，否则发包人将按照有关规定给予处罚；4、现场的食堂卫生安全、饮水设施安全可靠；5</w:t>
      </w:r>
      <w:r>
        <w:rPr>
          <w:rFonts w:ascii="SimSun" w:hAnsi="SimSun" w:eastAsia="SimSun" w:cs="SimSun"/>
          <w:color w:val="000000"/>
          <w:sz w:val="24"/>
        </w:rPr>
        <w:t xml:space="preserve">、施工现场临时用电安全参照JGJ46—2012规范执行。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关于编制施工场地治安管理计划的约定：在开工前提交的施工组织设计中必须要有此部分内容。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1、需承包人办理的有关施工场地交通、环卫和施工噪音管理等手续：工程施工期间,应控制噪声对周围环境的影响,承包人必须满足国家、省市的有关法规要求,必须符合《建筑施工场界噪声限值》(GB12523-90)和《城市区域环境震动标准》(GB10070-88)的要求，按规定自行办理涉及施工场地交通、施工噪音以及环境保护和安全生产等相关手续。2、施工场地周围地下管线和邻近建筑物、构筑物（含文物保护建筑）、古树名木的保护要求及费用承担： 无偿保护施工场地周围地下管线和邻近建筑物、构筑物(含文物</w:t>
      </w:r>
      <w:r>
        <w:rPr>
          <w:rFonts w:ascii="SimSun" w:hAnsi="SimSun" w:eastAsia="SimSun" w:cs="SimSun"/>
          <w:color w:val="000000"/>
          <w:sz w:val="24"/>
        </w:rPr>
        <w:t xml:space="preserve">保护建筑)、古树名木,损坏按实赔偿。3、施工场清洁卫生的要求： 施工现场在保证安全的前提下,按照标准化现场施工要求,保持场内、场外、交通进出口的安全和卫生。4、双方约定承包人应做的其他工作：施工期间保证场内场外相邻道路的畅通，安全防护减少噪音干扰和灰尘处理；未尽事宜双方协商解决。5、施工单位进场后不在施工范围内烟花爆竹禁放区内燃放烟花爆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ff0000"/>
          <w:sz w:val="24"/>
        </w:rPr>
        <w:t xml:space="preserve">与工程款同时支付</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工期和进度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合同当事人约定的施工组织设计应包括的其他内容：按通用条款执行。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承包人提交详细施工组织设计的期限的约定：合同签订后7日内。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发包人和监理人在收到详细的施工组织设计后确认或提出修改意见的期限：5日。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5日;开工后每周（月）例会时报周或月进度计划，包括甲供材和设备（如有）供应时间、数量等；承包人提供的施工组织设计必须是经发包方监理方审核后的施工组织设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关于承包人提交工程开工报审表的期限：合同签订后10日。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关于发包人应完成的其他开工准备工作及期限：临时设施搭建、材料、设备、人员等，合同签订后10日。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关于承包人应完成的其他开工准备工作及期限：暂无，如有另行协商。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因发包人原因造成监理人未能在计划开工日期之日起7天内发出开工通知的，承包人有权提出价格调整要求，或者解除合同。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7.4.1发包人通过监理人向承包人提供测量基准点、基准线和水准点及其书面资料的期限：开工前提供水准点与坐标管制点，按施工图要求由发包人、承包人现场交验。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因发包人原因造成暂停施工的，发包人于三天天前书面通知承包人，承包人应积极配合发包人做好施工计划调整，并合理调整人员和施工机械，工期顺延，以及施工过程中如遇特殊情况，发包人不能及时通知承包人导致工程停滞所产生的人员、机械等费用均含在投标报价中，由承包人承担，发包人不承担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因承包方原因造成不能按合同工期完成, 承包应承担违约责任,并向发包方支付违约金,按照该合同工期每推迟一天,违约金为合同价款的千分之一，限额2%。发包方可从应向承包方支付的任何款项中扣除此违约金,此违约金的支付并不能解除承包方完成工程的责任和合同规定的其它责任。如工期拖延超过15天以上或施工过程中承包方在监理和发包方合理要求下不按要求增加施工机械和人员的，超过五天以上，发包方方有权另行安排具有相应资质的单位进行剩余工程的施工，增加的费用由承包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因承包人原因造成工期延误，逾期竣工违约金的上限：以合同总价的2%为上限，承包人支付逾期竣工违约金后，不免除承包人继续完成工程及修补缺陷的义务。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（1）风雨、雪、洪、地震等自然灾害天气；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材料与设备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   样品的报送与封存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关于修建临时设施费用承担的约定：含在合同总价中，不另行增加。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试验与检验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施工现场需要配置的试验场所：无。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施工现场需要配备的试验设备：水准仪、测量仪等。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施工现场需要具备的其他试验条件：暂无，其他按通用条款。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变更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投标期间的有关收费的政策性文件及完成本工程应该计入投标报价中的费用以及各类建材的市场风险及招标文件约定的部分。如无设计变更或签证时并完成清单各项内容决算时不作任何调整。从中标通知书发出起至工程竣工结束，材料价格不作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工程内容的变更：建设单位有权根据工程进展情况以及居民的建议和需求，科学合理的增减工程内容，承包人必须无条件服从。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 变更估价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10.4.1 变更估价原则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关于变更估价的约定: 1、合同中已有适用于变更工程的价格，按合同已有的价格变更合同价款；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外项目，按《建设工程工程量清单计价规范》、《江苏省建筑与装饰工程计价表》、《江苏省建设工程工程量清单计价项目指引》及相配套定额和文件规定的人工、材料、机械台班耗用量，投标时的人工、材料、机械台班、管理费、利润等费用标准进行计算，执行相应的优惠条件，变更工程单价的优惠比例按承包人投标报价的优惠比例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3、因承包人自身原因导致的工程变更，承包人无权要求追加合同价款。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4、如因承包人投标时，部分清单内容故意低报价或高报价，施工过程中利用变更此清单相关内容而达到增加费用的目的，则发包人有权按投标时市场价或参照其他类似报价扣回相关费用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其他事项：双方另行协商。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监理人审查承包人合理化建议的期限：48小时。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发包人审批承包人合理化建议的期限：72小时。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承包人提出的合理化建议降低了合同价格或者提高了工程经济效益的奖励的方法和金额为：另行协商。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rPr>
          <w:rFonts w:ascii="FangSong" w:hAnsi="FangSong" w:eastAsia="FangSong" w:cs="FangSong"/>
          <w:b/>
          <w:color w:val="000000"/>
          <w:sz w:val="24"/>
        </w:rPr>
        <w:t xml:space="preserve">无</w:t>
      </w:r>
      <w:r>
        <w:rPr>
          <w:rFonts w:ascii="SimSun" w:hAnsi="SimSun" w:eastAsia="SimSun" w:cs="SimSun"/>
          <w:b/>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合同当事人关于暂列金额使用的约定：如有，按发包人要求执行。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价格调整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市场价格波动是否调整合同价格的约定：合同工期以内的项目的材料价格、机械台班价格风险由承包人承担市场价格波动，合同价格不作调整。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因市场价格波动调整合同价格，采用以下第3种方式对合同价格进行调整：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第3种方式：其他价格调整方式：1、因建设单位原因超过合同工期主要材料调差按苏建价【2008】67号文执行，其他不做调整。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2、措施费除安全文明施工措施费及模板外（安全文明措施费按相关文件执行，模板费用按混凝土增减情况调整），其他措施项目费均为包干价，结算时不予调整。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3、本项目的材料检验费由承包人自报，并包干使用；发包人指定（委托）检测单位，承包人负责取样（含见证取样），送检并承担检测费用。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4、人工工资单价调整按江苏省、南京市发布的相关文件执行。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5、承包人应仔细察看现场，所涉及的地下管线的排查以及施工中保障居民生活、生产的必要设施所产生的费用均含在投标报价中，由承包人承担。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合同价格、计量与支付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施工期间承包人提供的材料、机械、设备等全部市场风险及其它各种风险；②招标文件（含工程量清单）、合同条款中约定的风险；③投标人自行踏勘现场及对招标文件（含工程量清单）、设计图纸错误理解的风险；④作为有丰富经验的承包商应该预见到的风险；⑤针对天气、场地及地质状况等采取的施工技术措施费用；⑥投标报价中错、漏报项目的风险（不包括发包人根据招标文件约定调整的不平衡报价部分）；⑦图纸及招标范围明示的、潜在的一切风险；⑧法律法规中规定的应包含的其它风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风险费用的计算方法：承包人投标时充分考虑风险范围并计算风险费用。 现场的一切风险由总承包单位在投标前勘察现场、对图纸及地勘报告了解后进行确定，包括上级职能部门要求的安全防护、文明施工、现场排水等的一系列措施，均不作调整，均含在报价中。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一、调整内容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1、经发包人确认的设计变更、技术核定单、工程签证、图纸会审和技术交底等。以上内容必须由监理工程师、发包人代表及发包单位相关人员签字盖章后方可进入结算。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2、合同外可能增加的附属及其它零星项目，其工程类别按13费用定额中规定的最低类别计算。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二、调整方法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若增减项目内容与工程量清单项目内容一致，执行原清单报价；若增减项目内容与工程量清单项目内容相似,执行类似清单报价；若增减项目内容与工程量清单项目内容不同，由承包方提供单价发包方、审计方确认，作为最终结算审计的依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投标报价的清单，价格的确定原则：计价方法参考江苏省、南京市颁布的相应定额及相关文件或投标报价所采用的计价方式。人工、机械台班、管理费、利润执行原投标书中的价格和费率，材料价格投标书中有的执行投标价格，投标书中没有的量价较小的材料价格由承包人提出经发包人、审计方确认，作为最终结算审计的依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b/>
          <w:color w:val="000000"/>
          <w:sz w:val="24"/>
        </w:rPr>
        <w:t xml:space="preserve">包人向承包人支付合同价（扣除暂列金、暂估价、甲供材料款等相关费用后）的30%作为工程预付款。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b/>
          <w:color w:val="000000"/>
          <w:sz w:val="24"/>
        </w:rPr>
        <w:t xml:space="preserve">在具备施工条件的前提下，发包人在双方签订合同备案后不迟于约定的开工日期前的7天内(以发包人下达开工令为准)。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工程量计算规则：按相关的国家标准、行业标准等为依据。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关于计量周期的约定：见12.4.1。</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签订合同，支付合同价（扣除暂列金、暂估价、甲供材料款等相关费用后）的30%作为预付款；</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完成工程量的金额达到合同价的50%（以现场监理及甲方确认为准）付至合同价（扣除暂列金、暂估价、甲供材料款等应扣的相关费用后）的40%；</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工程竣工，验收合格后，付至合同价（扣除暂列金、暂估价、甲供材料款等应扣的相关费用后)的80%；</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结算审计完成后，付至工程审定价的100%；</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具体到款时间以财政支付时间为准。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支付给承包人的工程款，承包人只能用于本工程有关的劳务、材料、机械等费用，不得移作它用。发包人有权对承包人工程款的使用进行监督，如工程进度款用于支付与本工程无关的费用，发包人将立即停止付款。承包人承诺在所得的工程款中，首先保证本方的劳务工资，如乙方将应付的劳务工资挪作他用，由此发生的劳务工资纠纷由承包人自行负责解决，与发包人无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发包人保留在必要时将材料款、分包合同价款（如有）直接支付给材料供应商和分包商（如有）的权利。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所有工程付款必须经总监理工程师和发包人项目负责人签发付款证书后发包人才予以支付。</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备注：如遇特殊情况，具体付款时间，双方协商确定。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验收和工程试车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13.1.2监理人不能按时进行验收时，应提前24小时提交书面延期要求。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关于延期最长不得超过：48小时。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承包人向发包人移交工程的期限：按照合同约定工期。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承包人未按时移交工程的，违约金的计算方法为：按7.5.2执行。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承包人完成竣工退场的期限：竣工验收合格后20天内。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竣工结算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承包人提交竣工付款申请单的期限：收到竣工结算申请单后15天内。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竣工付款申请单应包括的内容：竣工结算后，承包人提供的结算书，发包人指定结算审核单位。</w:t>
      </w:r>
      <w:r>
        <w:rPr>
          <w:rFonts w:ascii="SimSun" w:hAnsi="SimSun" w:eastAsia="SimSun" w:cs="SimSun"/>
          <w:b/>
          <w:color w:val="000000"/>
          <w:sz w:val="24"/>
        </w:rPr>
        <w:t xml:space="preserve">结算审核中对施工单位编制的工程结算存在高估冒算的，审计核减率低于5%的，由建设单位承担审计费，审计核减率超过5%（含）的，由施工单位承担全额审计费用，审计费在审定价中扣除</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由发包人委托的第三方审计单位进行结算审核，承包人需要及时配合，如不配合，由承包人自行承担相关责任。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（1）发包人完成最终结清申请单的审批并颁发最终结清证书的期限：在缺陷责任期终止证书颁发后15天内。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（2）发包人完成支付的期限：按进度款支付约定。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缺陷责任期与保修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二</w:t>
      </w:r>
      <w:r>
        <w:rPr>
          <w:rFonts w:ascii="SimSun" w:hAnsi="SimSun" w:eastAsia="SimSun" w:cs="SimSun"/>
          <w:color w:val="000000"/>
          <w:sz w:val="24"/>
        </w:rPr>
        <w:t xml:space="preserve">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关于是否扣留质量保证金的约定：否。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工程保修期为：:见附件。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1.属于保修范围、内容的项目，承包人应当在接到保修通知之日起2个日历天内派人保修。承包人不在约定期限内派人保修的，发包人可以委托他人修理,由此产生保修费由承包人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2.发生紧急抢修事故的，承包人在接到事故通知后，应在2小时内到达到事故现场抢修。非承包人施工质量或其他承包人责任引起的事故，抢修费用由发包人承担。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3．在质保期满后，如发生损坏等质量问题时，承包人仍需做好售后服务，并在上述时限内赶到现场，及时处理解决。承包人可收取相应的材料费用及服务的费用。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违约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承包人按16.1.1项〔发包人违约的情形〕约定暂停施工满天后发包人仍不纠正其违约行为并致使合同目的不能实现的，承包人有权解除合同。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在施工过程中，除发包人责任导致工程关键线路上的工程停止施工工期可顺延外，其他任何导致工期顺延的原因均视为违约，承包人按合同价款的千分之一/天向发包人支付违约金，限额2%；，并承担由此给发包人因此造成的损失，并且上述赔偿的支付并不能解除承包人应完成工程的责任或合同的其他责任。如工期延误超过十日的，则发包人还有权解除本合同。乙方在收到甲方的解除通知后应立即退出施工现场，否则甲方有权强行将乙方清出施工现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1、在施工期间承包人如发生重大质量和安全事故，必须承担事故处理的一切费用、工程的恢复费用及因此造成后续工程延期费用，发包人有权勒令其退场，或减少其承包内容，所造成的损失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2、承包人不按期交付合格竣工图及竣工资料，发包人将推迟审核承包人决算时间，由此造成的损失由承包人承担。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关于承包人违约解除合同的特别约定：在本合同解除后，承包人必须在5天内无条件退场。发包人将按承包人已完成工程量的70%给予结算，承包人并承担由此而给发包方造成的一切损失。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发包人继续使用承包人在施工现场的材料、设备、临时工程、承包人文件和由承包人或以其名义编制的其他文件的费用承担方式：根据监理、审计出具的报告结算给承包人。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不可抗力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按省级有关部门的规定执行。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合同解除后，发包人应在商定或确定发包人应支付款项后28天内完成款项的支付。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保险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关于工程保险的特别约定：承包人必须按国家或地方相关规定为从事危险作业的职工办理意外伤害保险，并为施工场地内自有人员生命财产和施工机械设备办理保险，承担保险责任。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承包人是否应为其施工设备等办理财产保险：同18.1条规定，未规定部分承包人有权决定。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关于变更保险合同时的通知义务的约定：按通用条款。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争议解决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合同当事人是否同意将工程争议提交争议评审小组决定：不同意。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因合同及合同有关事项发生的争议，按下列第(2)种方式解决：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（2）向工程所在地人民法院起诉。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附件：工程质量保修书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        （工程全称）签订工程质量保修书。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二、质量保修期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 5 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 2 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 2 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 2 个采暖期、供冷期；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6．住宅小区内的给排水设施、道路等配套工程为2年；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本工程质量保修期为2年。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工程缺陷责任期为 24 个月，缺陷责任期自工程实际竣工之日起计算。单位工程先于全部工程进行验收，单位工程缺陷责任期自单位工程验收合格之日起算。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址：地址：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委托代理人(签字)：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话：电话：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真：传真：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号：账号：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不拖欠民工工资承诺书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如我公司在                实施期间及竣工验收后，保证按时按期足额支付所有建筑工人及民工工资，如有违反，将承担由此发生的和可能带来的一切后果和费用。特此承诺！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承包人（盖章）：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                  项目负责人常驻现场承诺书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我公司在此郑重承诺：我公司有幸在施工（工程项目名称）     （标段编号）中标，将确保项目负责人（项目负责人姓名）常驻现场每天不得少于8小时，每周在现场工作不得少于五天，否则发包人有权按每天伍仟元人民币的标准扣罚我方，直至终止合同。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项目负责人（签字）: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053" w:firstLine="3092"/>
        <w:jc w:val="both"/>
        <w:spacing w:before="0" w:after="0" w:line="502"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w:t>
        <w:tab/>
        <w:t xml:space="preserve">附件</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2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5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rPr>
          <w:rFonts w:ascii="Times New Roman" w:hAnsi="Times New Roman" w:eastAsia="Times New Roman" w:cs="Times New Roman"/>
          <w:sz w:val="24"/>
        </w:rPr>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投标人：（盖单位章）</w:t>
      </w:r>
      <w:r/>
    </w:p>
    <w:p>
      <w:pPr>
        <w:ind w:left="0" w:right="0" w:firstLine="0"/>
        <w:spacing w:before="0" w:after="0" w:line="31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3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法定代表人或其委托代理人：（签字）</w:t>
      </w:r>
      <w:r/>
    </w:p>
    <w:p>
      <w:pPr>
        <w:ind w:left="0" w:right="0" w:firstLine="0"/>
        <w:spacing w:before="0" w:after="0" w:line="30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3" w:firstLine="0"/>
        <w:jc w:val="center"/>
        <w:spacing w:before="0" w:after="0" w:line="320"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tab/>
        <w:t xml:space="preserve">月</w:t>
        <w:tab/>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南京交通技师学院：</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18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35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1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投标文件格式一、</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4"/>
        </w:rPr>
        <w:t xml:space="preserve">南京市政府采购供应商信用记录表暨信用承诺书（网站打印盖章）</w:t>
      </w:r>
      <w:r/>
    </w:p>
    <w:p>
      <w:pPr>
        <w:ind w:left="0" w:right="0" w:firstLine="0"/>
        <w:spacing w:before="0" w:after="0" w:line="2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1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投标文件格式二、投标申请及声明格式</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 w:firstLine="0"/>
        <w:jc w:val="center"/>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（项目编号）采购文件，正式授权下述签字人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姓名和职务</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代表</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，提交响应文件并参加磋商。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根据已收到的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磋商文件，遵照规定，我单位经现场考察和认真研究上述磋商文件后，愿以（大写）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元）作为磋商报价。</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我们完全理解贵方不一定要接受最低报价的磋商或收到的任何磋商。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我们已详细审核全部磋商文件及其有效补充文件，我们知道必须放弃提出含糊不清或误解的问题的权利。</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我们同意从规定的磋商日期起遵循本磋商文件，并在规定的磋商有效期期满之前均具有约束力。</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同意向贵方提供贵方可能要求的与磋商有关的任何证据或资料。</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一旦我方成交，我方将根据磋商文件的规定，严格履行合同，并保证于承诺的时间完成货物的启动、调试等服务，交付采购人验收、使用。</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我方将严格遵守《中华人民共和国政府采购法》第七十七条规定，若有下列情形之一的，将被处以采购金额</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）与采购人、其它供应商或者采购代理机构恶意串通的；</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）向采购人、采购代理机构行贿或者提供其他不正当利益的；</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）在采购过程中与采购人进行协商磋商的；</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）拒绝有关部门监督检查或提供虚假情况的。</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与本磋商有关的正式通讯地址为：</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308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160"/>
        <w:gridCol w:w="520"/>
        <w:gridCol w:w="1520"/>
        <w:gridCol w:w="1680"/>
        <w:gridCol w:w="900"/>
        <w:gridCol w:w="620"/>
        <w:gridCol w:w="640"/>
        <w:gridCol w:w="420"/>
      </w:tblGrid>
      <w:tr>
        <w:trPr>
          <w:trHeight w:val="240"/>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40" w:type="dxa"/>
            <w:vAlign w:val="bottom"/>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460"/>
        </w:trPr>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20" w:type="dxa"/>
            <w:vAlign w:val="bottom"/>
            <w:textDirection w:val="lrTb"/>
            <w:noWrap w:val="false"/>
          </w:tcPr>
          <w:p>
            <w:pPr>
              <w:ind w:left="4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5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0" w:type="dxa"/>
            <w:vAlign w:val="bottom"/>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（投标人住址）的</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80" w:type="dxa"/>
            <w:vAlign w:val="bottom"/>
            <w:textDirection w:val="lrTb"/>
            <w:noWrap w:val="false"/>
          </w:tcPr>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（投标人名称）法</w:t>
            </w:r>
            <w:r/>
          </w:p>
        </w:tc>
      </w:tr>
      <w:tr>
        <w:trPr>
          <w:trHeight w:val="44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0" w:type="dxa"/>
            <w:vAlign w:val="bottom"/>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定代表人</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1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40" w:type="dxa"/>
            <w:vAlign w:val="bottom"/>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（法定代表人姓名、职务）代表本公司授权在下面签字的</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0" w:type="dxa"/>
            <w:vAlign w:val="bottom"/>
            <w:textDirection w:val="lrTb"/>
            <w:noWrap w:val="false"/>
          </w:tcPr>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w:t>
            </w:r>
            <w:r/>
          </w:p>
        </w:tc>
      </w:tr>
    </w:tbl>
    <w:p>
      <w:pPr>
        <w:ind w:left="0" w:right="0" w:firstLine="0"/>
        <w:spacing w:before="0" w:after="0" w:line="22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tabs>
          <w:tab w:val="left" w:pos="7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标人代表姓名、职务）为本公司的合法代理人，就贵方组织的</w:t>
      </w:r>
      <w:r>
        <w:rPr>
          <w:rFonts w:ascii="Times New Roman" w:hAnsi="Times New Roman" w:eastAsia="Times New Roman" w:cs="Times New Roman"/>
          <w:color w:val="000000"/>
          <w:sz w:val="24"/>
        </w:rPr>
        <w:tab/>
      </w:r>
      <w:r>
        <w:rPr>
          <w:rFonts w:ascii="SimSun" w:hAnsi="SimSun" w:eastAsia="SimSun" w:cs="SimSun"/>
          <w:color w:val="000000"/>
          <w:sz w:val="21"/>
        </w:rPr>
        <w:t xml:space="preserve">（项目名</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33450"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67220" name=""/>
                        <pic:cNvPicPr>
                          <a:picLocks noChangeAspect="1"/>
                        </pic:cNvPicPr>
                        <pic:nvPr/>
                      </pic:nvPicPr>
                      <pic:blipFill>
                        <a:blip/>
                        <a:stretch/>
                      </pic:blipFill>
                      <pic:spPr bwMode="auto">
                        <a:xfrm>
                          <a:off x="0" y="0"/>
                          <a:ext cx="9334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3.5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line="20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tabs>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称）</w:t>
      </w:r>
      <w:r>
        <w:rPr>
          <w:rFonts w:ascii="Times New Roman" w:hAnsi="Times New Roman" w:eastAsia="Times New Roman" w:cs="Times New Roman"/>
          <w:color w:val="000000"/>
          <w:sz w:val="24"/>
        </w:rPr>
        <w:tab/>
      </w:r>
      <w:r>
        <w:rPr>
          <w:rFonts w:ascii="SimSun" w:hAnsi="SimSun" w:eastAsia="SimSun" w:cs="SimSun"/>
          <w:color w:val="000000"/>
          <w:sz w:val="21"/>
        </w:rPr>
        <w:t xml:space="preserve">（项目编号）投标，以本公司名义处理一切与之有关的事务。</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95300"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5378" name=""/>
                        <pic:cNvPicPr>
                          <a:picLocks noChangeAspect="1"/>
                        </pic:cNvPicPr>
                        <pic:nvPr/>
                      </pic:nvPicPr>
                      <pic:blipFill>
                        <a:blip/>
                        <a:stretch/>
                      </pic:blipFill>
                      <pic:spPr bwMode="auto">
                        <a:xfrm>
                          <a:off x="0" y="0"/>
                          <a:ext cx="4952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0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line="20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60" w:right="0" w:firstLine="0"/>
        <w:spacing w:before="0" w:after="0" w:line="239" w:lineRule="atLeast"/>
        <w:tabs>
          <w:tab w:val="left" w:pos="18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tab/>
        <w:t xml:space="preserve">年 月 日签字或签章生效，特此声明。</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5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8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95400"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13462" name=""/>
                        <pic:cNvPicPr>
                          <a:picLocks noChangeAspect="1"/>
                        </pic:cNvPicPr>
                        <pic:nvPr/>
                      </pic:nvPicPr>
                      <pic:blipFill>
                        <a:blip/>
                        <a:stretch/>
                      </pic:blipFill>
                      <pic:spPr bwMode="auto">
                        <a:xfrm>
                          <a:off x="0" y="0"/>
                          <a:ext cx="12953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2.0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8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00"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8145" name=""/>
                        <pic:cNvPicPr>
                          <a:picLocks noChangeAspect="1"/>
                        </pic:cNvPicPr>
                        <pic:nvPr/>
                      </pic:nvPicPr>
                      <pic:blipFill>
                        <a:blip/>
                        <a:stretch/>
                      </pic:blipFill>
                      <pic:spPr bwMode="auto">
                        <a:xfrm>
                          <a:off x="0" y="0"/>
                          <a:ext cx="19049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0.0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4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840"/>
        <w:gridCol w:w="240"/>
        <w:gridCol w:w="480"/>
        <w:gridCol w:w="360"/>
        <w:gridCol w:w="480"/>
        <w:gridCol w:w="2160"/>
      </w:tblGrid>
      <w:tr>
        <w:trPr>
          <w:trHeight w:val="27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0" w:type="dxa"/>
            <w:vAlign w:val="bottom"/>
            <w:textDirection w:val="lrTb"/>
            <w:noWrap w:val="false"/>
          </w:tcPr>
          <w:p>
            <w:pPr>
              <w:ind w:left="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160" w:type="dxa"/>
            <w:vAlign w:val="bottom"/>
            <w:textDirection w:val="lrTb"/>
            <w:noWrap w:val="false"/>
          </w:tcPr>
          <w:p>
            <w:pPr>
              <w:ind w:left="120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r>
      <w:tr>
        <w:trPr>
          <w:trHeight w:val="60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0" w:type="dxa"/>
            <w:vAlign w:val="bottom"/>
            <w:textDirection w:val="lrTb"/>
            <w:noWrap w:val="false"/>
          </w:tcPr>
          <w:p>
            <w:pPr>
              <w:ind w:left="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0" w:type="dxa"/>
            <w:vAlign w:val="bottom"/>
            <w:textDirection w:val="lrTb"/>
            <w:noWrap w:val="false"/>
          </w:tcPr>
          <w:p>
            <w:pPr>
              <w:ind w:left="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0" w:type="dxa"/>
            <w:vAlign w:val="bottom"/>
            <w:textDirection w:val="lrTb"/>
            <w:noWrap w:val="false"/>
          </w:tcPr>
          <w:p>
            <w:pPr>
              <w:ind w:left="12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60" w:type="dxa"/>
            <w:vAlign w:val="bottom"/>
            <w:textDirection w:val="lrTb"/>
            <w:noWrap w:val="false"/>
          </w:tcPr>
          <w:p>
            <w:pPr>
              <w:ind w:left="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p>
        </w:tc>
      </w:tr>
    </w:tbl>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5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授权委托人身份证明材料复印件：</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投标文件格式四、</w:t>
      </w:r>
      <w:r>
        <w:rPr>
          <w:rFonts w:ascii="SimHei" w:hAnsi="SimHei" w:eastAsia="SimHei" w:cs="SimHei"/>
          <w:color w:val="000000"/>
          <w:sz w:val="24"/>
        </w:rPr>
        <w:t xml:space="preserve">报价一览表</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报价一览表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项目名称：</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w:t>
      </w:r>
      <w:r/>
    </w:p>
    <w:p>
      <w:pPr>
        <w:ind w:left="-2" w:right="-778" w:firstLine="480"/>
        <w:jc w:val="right"/>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金额单位：人民币（元）</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4"/>
        <w:gridCol w:w="4637"/>
        <w:gridCol w:w="2477"/>
        <w:gridCol w:w="1076"/>
      </w:tblGrid>
      <w:tr>
        <w:trPr>
          <w:trHeight w:val="1396"/>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37"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投标报价（元）</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50" w:after="50" w:line="2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说明</w:t>
            </w:r>
            <w:r/>
          </w:p>
        </w:tc>
      </w:tr>
      <w:tr>
        <w:trPr>
          <w:trHeight w:val="7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7"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7"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24"/>
              </w:rPr>
              <w:t xml:space="preserve"> </w:t>
            </w:r>
            <w:r/>
          </w:p>
        </w:tc>
      </w:tr>
      <w:tr>
        <w:trPr>
          <w:trHeight w:val="6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本项目投标价（金额大写）： 人民币      元整                                    </w:t>
            </w:r>
            <w:r>
              <w:rPr>
                <w:rFonts w:ascii="SimHei" w:hAnsi="SimHei" w:eastAsia="SimHei" w:cs="SimHei"/>
                <w:color w:val="000000"/>
                <w:spacing w:val="20"/>
                <w:sz w:val="24"/>
                <w:u w:val="single"/>
              </w:rPr>
              <w:t xml:space="preserve">  </w:t>
            </w:r>
            <w:r>
              <w:rPr>
                <w:rFonts w:ascii="SimHei" w:hAnsi="SimHei" w:eastAsia="SimHei" w:cs="SimHei"/>
                <w:color w:val="000000"/>
                <w:sz w:val="24"/>
                <w:u w:val="single"/>
              </w:rPr>
              <w:t xml:space="preserve">          </w:t>
            </w:r>
            <w:r/>
          </w:p>
        </w:tc>
      </w:tr>
      <w:tr>
        <w:trPr>
          <w:trHeight w:val="53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供应商是否属于小微企业：       是            否</w:t>
            </w:r>
            <w:r/>
          </w:p>
        </w:tc>
      </w:tr>
    </w:tbl>
    <w:p>
      <w:pPr>
        <w:ind w:left="-2" w:right="-778" w:firstLine="482"/>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2" w:right="-778" w:firstLine="482"/>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778"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法定代表人或委托代理人签字：</w:t>
      </w:r>
      <w:r/>
    </w:p>
    <w:p>
      <w:pPr>
        <w:ind w:left="0" w:right="-778" w:firstLine="2520"/>
        <w:jc w:val="right"/>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778"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p>
    <w:p>
      <w:pPr>
        <w:ind w:left="0" w:right="-778" w:firstLine="2520"/>
        <w:jc w:val="right"/>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778" w:firstLine="0"/>
        <w:jc w:val="both"/>
        <w:spacing w:before="50" w:after="5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日期：年月日</w:t>
      </w:r>
      <w:r/>
    </w:p>
    <w:p>
      <w:pPr>
        <w:ind w:left="0" w:right="0"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78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1、本服务仅接受一个价格，不得填报有选择性报价方案。若有优惠条款须注明，但不得影响报价，影响产品整体功能。</w:t>
      </w:r>
      <w:r/>
    </w:p>
    <w:p>
      <w:pPr>
        <w:ind w:left="78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2、在“供应商是否属于小微企业”栏后“是”或“否”上打“√”。</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投标文件格式五、分项报价表格式</w:t>
      </w:r>
      <w:r/>
    </w:p>
    <w:p>
      <w:pPr>
        <w:pStyle w:val="661"/>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分项报价表（按清单报价）格式为：未来软件</w:t>
      </w:r>
      <w:r/>
    </w:p>
    <w:p>
      <w:pPr>
        <w:ind w:left="0" w:right="0" w:firstLine="0"/>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注：此清单中报价汇总表必须提供，其他价格表，请供应商根据采购文件中工程量清单进行组价并详列，且按规定的工程量清单计价规范格式提供。填写的项目编码、项目名称、项目特征、计量单位、工程量、暂列金、规费税金、总价措施费率等必须与招标人提供的一致。</w:t>
      </w:r>
      <w:r/>
    </w:p>
    <w:p>
      <w:pPr>
        <w:pStyle w:val="661"/>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投标文件格式六、技术规格偏离表格式</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046" w:firstLine="0"/>
        <w:jc w:val="right"/>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500"/>
        <w:gridCol w:w="1920"/>
        <w:gridCol w:w="3020"/>
        <w:gridCol w:w="1240"/>
      </w:tblGrid>
      <w:tr>
        <w:trPr>
          <w:trHeight w:val="240"/>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60" w:type="dxa"/>
            <w:vAlign w:val="bottom"/>
            <w:textDirection w:val="lrTb"/>
            <w:noWrap w:val="false"/>
          </w:tcPr>
          <w:p>
            <w:pPr>
              <w:ind w:left="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20" w:type="dxa"/>
            <w:vAlign w:val="bottom"/>
            <w:textDirection w:val="lrTb"/>
            <w:noWrap w:val="false"/>
          </w:tcPr>
          <w:p>
            <w:pPr>
              <w:ind w:left="130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29"/>
        </w:trPr>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5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9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0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r>
      <w:tr>
        <w:trPr>
          <w:trHeight w:val="33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60" w:type="dxa"/>
            <w:vAlign w:val="bottom"/>
            <w:textDirection w:val="lrTb"/>
            <w:noWrap w:val="false"/>
          </w:tcPr>
          <w:p>
            <w:pPr>
              <w:ind w:left="1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500" w:type="dxa"/>
            <w:vAlign w:val="bottom"/>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920" w:type="dxa"/>
            <w:vAlign w:val="bottom"/>
            <w:textDirection w:val="lrTb"/>
            <w:noWrap w:val="false"/>
          </w:tcPr>
          <w:p>
            <w:pPr>
              <w:ind w:left="3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3020" w:type="dxa"/>
            <w:vAlign w:val="bottom"/>
            <w:textDirection w:val="lrTb"/>
            <w:noWrap w:val="false"/>
          </w:tcPr>
          <w:p>
            <w:pPr>
              <w:ind w:left="108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投标回应</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240" w:type="dxa"/>
            <w:vAlign w:val="bottom"/>
            <w:textDirection w:val="lrTb"/>
            <w:noWrap w:val="false"/>
          </w:tcPr>
          <w:p>
            <w:pPr>
              <w:ind w:left="40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1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2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3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SimSun" w:hAnsi="SimSun" w:eastAsia="SimSun" w:cs="SimSun"/>
          <w:color w:val="000000"/>
          <w:sz w:val="24"/>
        </w:rPr>
        <w:t xml:space="preserve">磋商响应文件技术要求部分内容响应存在正偏离或负偏离的，请在本表中逐条列出。未列出的，视为响应磋商文件要求。如果行数不够，请自行增加。</w:t>
      </w:r>
      <w:r/>
    </w:p>
    <w:p>
      <w:pPr>
        <w:ind w:left="0" w:right="0" w:firstLine="0"/>
        <w:spacing w:before="0" w:after="0" w:line="22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22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tabs>
          <w:tab w:val="left" w:pos="3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Times New Roman" w:hAnsi="Times New Roman" w:eastAsia="Times New Roman" w:cs="Times New Roman"/>
          <w:color w:val="000000"/>
          <w:sz w:val="24"/>
        </w:rPr>
        <w:tab/>
      </w:r>
      <w:r>
        <w:rPr>
          <w:rFonts w:ascii="SimSun" w:hAnsi="SimSun" w:eastAsia="SimSun" w:cs="SimSun"/>
          <w:color w:val="000000"/>
          <w:sz w:val="21"/>
        </w:rPr>
        <w:t xml:space="preserve">（盖章）</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3347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07215" name=""/>
                        <pic:cNvPicPr>
                          <a:picLocks noChangeAspect="1"/>
                        </pic:cNvPicPr>
                        <pic:nvPr/>
                      </pic:nvPicPr>
                      <pic:blipFill>
                        <a:blip/>
                        <a:stretch/>
                      </pic:blipFill>
                      <pic:spPr bwMode="auto">
                        <a:xfrm>
                          <a:off x="0" y="0"/>
                          <a:ext cx="113347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9.2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
        <w:br w:type="page" w:clear="all"/>
      </w:r>
      <w:r/>
      <w:r/>
      <w:r/>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投标文件格式七、商务条款偏离表格式</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5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460" w:right="0" w:firstLine="0"/>
        <w:spacing w:before="0" w:after="0" w:line="4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0"/>
        <w:gridCol w:w="1640"/>
        <w:gridCol w:w="2580"/>
        <w:gridCol w:w="2340"/>
        <w:gridCol w:w="1200"/>
      </w:tblGrid>
      <w:tr>
        <w:trPr>
          <w:trHeight w:val="240"/>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20" w:type="dxa"/>
            <w:vAlign w:val="bottom"/>
            <w:textDirection w:val="lrTb"/>
            <w:noWrap w:val="false"/>
          </w:tcPr>
          <w:p>
            <w:pPr>
              <w:ind w:left="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0" w:type="dxa"/>
            <w:vAlign w:val="bottom"/>
            <w:textDirection w:val="lrTb"/>
            <w:noWrap w:val="false"/>
          </w:tcPr>
          <w:p>
            <w:pPr>
              <w:ind w:left="0" w:right="16"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30"/>
        </w:trPr>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r>
      <w:tr>
        <w:trPr>
          <w:trHeight w:val="337"/>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580" w:type="dxa"/>
            <w:vAlign w:val="bottom"/>
            <w:textDirection w:val="lrTb"/>
            <w:noWrap w:val="false"/>
          </w:tcPr>
          <w:p>
            <w:pPr>
              <w:ind w:left="8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640" w:type="dxa"/>
            <w:vAlign w:val="bottom"/>
            <w:textDirection w:val="lrTb"/>
            <w:noWrap w:val="false"/>
          </w:tcPr>
          <w:p>
            <w:pPr>
              <w:ind w:left="8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2580" w:type="dxa"/>
            <w:vAlign w:val="bottom"/>
            <w:textDirection w:val="lrTb"/>
            <w:noWrap w:val="false"/>
          </w:tcPr>
          <w:p>
            <w:pPr>
              <w:ind w:left="1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投标回应</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200" w:type="dxa"/>
            <w:vAlign w:val="bottom"/>
            <w:textDirection w:val="lrTb"/>
            <w:noWrap w:val="false"/>
          </w:tcPr>
          <w:p>
            <w:pPr>
              <w:ind w:left="38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1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SimSun" w:hAnsi="SimSun" w:eastAsia="SimSun" w:cs="SimSun"/>
          <w:color w:val="000000"/>
          <w:sz w:val="24"/>
        </w:rPr>
        <w:t xml:space="preserve">磋商响应文件商务要求部分内容响应存在正偏离或负偏离的，请在本表中逐条列出。未列出的，视为响应磋商文件要求。如果行数不够，请自行增加。</w:t>
      </w:r>
      <w:r>
        <w:rPr>
          <w:rFonts w:ascii="SimSun" w:hAnsi="SimSun" w:eastAsia="SimSun" w:cs="SimSun"/>
          <w:color w:val="000000"/>
          <w:sz w:val="21"/>
        </w:rPr>
        <w:t xml:space="preserve">如果行数不够，请自行增加。</w:t>
      </w:r>
      <w:r/>
    </w:p>
    <w:p>
      <w:pPr>
        <w:ind w:left="0" w:right="0" w:firstLine="0"/>
        <w:spacing w:before="0" w:after="0" w:line="22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tabs>
          <w:tab w:val="left" w:pos="3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Times New Roman" w:hAnsi="Times New Roman" w:eastAsia="Times New Roman" w:cs="Times New Roman"/>
          <w:color w:val="000000"/>
          <w:sz w:val="24"/>
        </w:rPr>
        <w:tab/>
      </w:r>
      <w:r>
        <w:rPr>
          <w:rFonts w:ascii="SimSun" w:hAnsi="SimSun" w:eastAsia="SimSun" w:cs="SimSun"/>
          <w:color w:val="000000"/>
          <w:sz w:val="21"/>
        </w:rPr>
        <w:t xml:space="preserve">（盖章）</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3347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40964" name=""/>
                        <pic:cNvPicPr>
                          <a:picLocks noChangeAspect="1"/>
                        </pic:cNvPicPr>
                        <pic:nvPr/>
                      </pic:nvPicPr>
                      <pic:blipFill>
                        <a:blip/>
                        <a:stretch/>
                      </pic:blipFill>
                      <pic:spPr bwMode="auto">
                        <a:xfrm>
                          <a:off x="0" y="0"/>
                          <a:ext cx="113347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9.2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6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投标文件格式八、技术方案、投标人自拟（如有）</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2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投标文件格式九、投标人拟投入本项目服务人员一览表</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9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 w:firstLine="0"/>
        <w:jc w:val="center"/>
        <w:spacing w:before="0" w:after="0"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拟投入本项目人员一览表</w:t>
      </w:r>
      <w:r/>
    </w:p>
    <w:p>
      <w:pPr>
        <w:ind w:left="0" w:right="0" w:firstLine="0"/>
        <w:spacing w:before="0" w:after="0" w:line="18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0" w:after="0" w:line="3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0"/>
        <w:gridCol w:w="1647"/>
        <w:gridCol w:w="1213"/>
        <w:gridCol w:w="1300"/>
        <w:gridCol w:w="1517"/>
        <w:gridCol w:w="1560"/>
      </w:tblGrid>
      <w:tr>
        <w:trPr>
          <w:trHeight w:val="161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14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1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13" w:type="dxa"/>
            <w:vAlign w:val="center"/>
            <w:textDirection w:val="lrTb"/>
            <w:noWrap w:val="false"/>
          </w:tcPr>
          <w:p>
            <w:pPr>
              <w:ind w:left="1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18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7" w:type="dxa"/>
            <w:vAlign w:val="center"/>
            <w:textDirection w:val="lrTb"/>
            <w:noWrap w:val="false"/>
          </w:tcPr>
          <w:p>
            <w:pPr>
              <w:ind w:left="12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3"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3"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0"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2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“备注”栏，可填写该人员擅长的工程（或工作）种类；</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22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60" w:right="0" w:firstLine="0"/>
        <w:spacing w:before="0" w:after="0" w:line="239" w:lineRule="atLeast"/>
        <w:tabs>
          <w:tab w:val="left" w:pos="3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Times New Roman" w:hAnsi="Times New Roman" w:eastAsia="Times New Roman" w:cs="Times New Roman"/>
          <w:color w:val="000000"/>
          <w:sz w:val="24"/>
        </w:rPr>
        <w:tab/>
      </w:r>
      <w:r>
        <w:rPr>
          <w:rFonts w:ascii="SimSun" w:hAnsi="SimSun" w:eastAsia="SimSun" w:cs="SimSun"/>
          <w:color w:val="000000"/>
          <w:sz w:val="21"/>
        </w:rPr>
        <w:t xml:space="preserve">（盖章）</w:t>
      </w:r>
      <w:r/>
    </w:p>
    <w:p>
      <w:pPr>
        <w:ind w:left="0" w:right="0" w:firstLine="0"/>
        <w:spacing w:before="0" w:after="0" w:line="2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3347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716529" name=""/>
                        <pic:cNvPicPr>
                          <a:picLocks noChangeAspect="1"/>
                        </pic:cNvPicPr>
                        <pic:nvPr/>
                      </pic:nvPicPr>
                      <pic:blipFill>
                        <a:blip/>
                        <a:stretch/>
                      </pic:blipFill>
                      <pic:spPr bwMode="auto">
                        <a:xfrm>
                          <a:off x="0" y="0"/>
                          <a:ext cx="113347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9.2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0"/>
        <w:spacing w:before="0" w:after="0" w:line="200"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rPr>
          <w:rFonts w:ascii="Times New Roman" w:hAnsi="Times New Roman" w:eastAsia="Times New Roman" w:cs="Times New Roman"/>
          <w:sz w:val="24"/>
        </w:rPr>
      </w:r>
      <w:r/>
    </w:p>
    <w:p>
      <w:pPr>
        <w:ind w:left="0" w:right="0" w:firstLine="0"/>
        <w:spacing w:before="0" w:after="0" w:line="200"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rPr>
          <w:rFonts w:ascii="Times New Roman" w:hAnsi="Times New Roman" w:eastAsia="Times New Roman" w:cs="Times New Roman"/>
          <w:sz w:val="24"/>
        </w:rPr>
      </w:r>
      <w:r/>
    </w:p>
    <w:p>
      <w:pPr>
        <w:ind w:left="0" w:right="0" w:firstLine="0"/>
        <w:spacing w:before="0" w:after="0" w:line="1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投标文件格式十、中小企业声明函</w:t>
      </w:r>
      <w:r/>
    </w:p>
    <w:p>
      <w:pPr>
        <w:ind w:left="0" w:right="0" w:firstLine="0"/>
        <w:spacing w:before="0" w:after="0" w:line="34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 企业发展管理办法》（财库﹝2020﹞46 号）的规定，本公司 （联合体）参加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 程的施工单位全部为符合政策要求的中小企业（或者：服务 全部由符合政策要求的中小企业承接）。相关企业（含联合 体中的中小企业、签订分包意向协议的中小企业）的具体情 况如下：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 （标的名称） ，属于（采购文件中明确的所属行业）； 承建（承接）企业为（企业名称），从业人员      人，营业 收入为     万元，资产总额为     万元 ，属于（中型企业、 小型企业、微型企业）；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（标的名称） ，属于（采购文件中明确的所属行业）； 承建（承接）企业为（企业名称），从业人员 人，营业 收入为 万元，资产总额为 万元，属于（中型企业、 小型企业、微型企业）；</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 为大企业的情形，也不存在与大企业的负责人为同一人的情 形。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 法承担相应责任。 </w:t>
      </w:r>
      <w:r/>
    </w:p>
    <w:p>
      <w:pPr>
        <w:ind w:left="0" w:right="0" w:firstLine="8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8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19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0"/>
        <w:spacing w:before="0" w:after="0" w:line="2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1"/>
        <w:ind w:left="0" w:right="0" w:firstLine="0"/>
        <w:spacing w:before="120" w:after="120"/>
        <w:pBdr>
          <w:top w:val="none" w:color="000000" w:sz="4" w:space="0"/>
          <w:left w:val="none" w:color="000000" w:sz="4" w:space="0"/>
          <w:bottom w:val="none" w:color="000000" w:sz="4" w:space="0"/>
          <w:right w:val="none" w:color="000000" w:sz="4" w:space="0"/>
        </w:pBdr>
      </w:pPr>
      <w:r>
        <w:rPr>
          <w:rFonts w:ascii="STXihei" w:hAnsi="STXihei" w:eastAsia="STXihei" w:cs="STXihei"/>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rPr>
          <w:rFonts w:ascii="Times New Roman" w:hAnsi="Times New Roman" w:eastAsia="Times New Roman" w:cs="Times New Roman"/>
          <w:sz w:val="24"/>
        </w:rPr>
      </w:r>
      <w:r/>
    </w:p>
    <w:sectPr>
      <w:footerReference w:type="default" r:id="rId9"/>
      <w:footnotePr/>
      <w:endnotePr/>
      <w:type w:val="continuous"/>
      <w:pgSz w:w="11900" w:h="16838" w:orient="portrait"/>
      <w:pgMar w:top="1440" w:right="1440" w:bottom="452" w:left="1440"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hei">
    <w:panose1 w:val="02010600040101010101"/>
  </w:font>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pStyle w:val="8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8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name w:val="Heading 1"/>
    <w:basedOn w:val="833"/>
    <w:next w:val="833"/>
    <w:link w:val="657"/>
    <w:uiPriority w:val="9"/>
    <w:qFormat/>
    <w:pPr>
      <w:keepLines/>
      <w:keepNext/>
      <w:spacing w:before="480" w:after="200"/>
      <w:outlineLvl w:val="0"/>
    </w:pPr>
    <w:rPr>
      <w:rFonts w:ascii="Arial" w:hAnsi="Arial" w:eastAsia="Arial" w:cs="Arial"/>
      <w:sz w:val="40"/>
      <w:szCs w:val="40"/>
    </w:rPr>
  </w:style>
  <w:style w:type="character" w:styleId="657">
    <w:name w:val="Heading 1 Char"/>
    <w:link w:val="656"/>
    <w:uiPriority w:val="9"/>
    <w:rPr>
      <w:rFonts w:ascii="Arial" w:hAnsi="Arial" w:eastAsia="Arial" w:cs="Arial"/>
      <w:sz w:val="40"/>
      <w:szCs w:val="40"/>
    </w:rPr>
  </w:style>
  <w:style w:type="character" w:styleId="658">
    <w:name w:val="Heading 2 Char"/>
    <w:link w:val="870"/>
    <w:uiPriority w:val="9"/>
    <w:rPr>
      <w:rFonts w:ascii="Arial" w:hAnsi="Arial" w:eastAsia="Arial" w:cs="Arial"/>
      <w:sz w:val="34"/>
    </w:rPr>
  </w:style>
  <w:style w:type="paragraph" w:styleId="659">
    <w:name w:val="Heading 3"/>
    <w:basedOn w:val="833"/>
    <w:next w:val="833"/>
    <w:link w:val="660"/>
    <w:uiPriority w:val="9"/>
    <w:unhideWhenUsed/>
    <w:qFormat/>
    <w:pPr>
      <w:keepLines/>
      <w:keepNext/>
      <w:spacing w:before="320" w:after="200"/>
      <w:outlineLvl w:val="2"/>
    </w:pPr>
    <w:rPr>
      <w:rFonts w:ascii="Arial" w:hAnsi="Arial" w:eastAsia="Arial" w:cs="Arial"/>
      <w:sz w:val="30"/>
      <w:szCs w:val="30"/>
    </w:rPr>
  </w:style>
  <w:style w:type="character" w:styleId="660">
    <w:name w:val="Heading 3 Char"/>
    <w:link w:val="659"/>
    <w:uiPriority w:val="9"/>
    <w:rPr>
      <w:rFonts w:ascii="Arial" w:hAnsi="Arial" w:eastAsia="Arial" w:cs="Arial"/>
      <w:sz w:val="30"/>
      <w:szCs w:val="30"/>
    </w:rPr>
  </w:style>
  <w:style w:type="paragraph" w:styleId="661">
    <w:name w:val="Heading 4"/>
    <w:basedOn w:val="833"/>
    <w:next w:val="833"/>
    <w:link w:val="662"/>
    <w:uiPriority w:val="9"/>
    <w:unhideWhenUsed/>
    <w:qFormat/>
    <w:pPr>
      <w:keepLines/>
      <w:keepNext/>
      <w:spacing w:before="320" w:after="200"/>
      <w:outlineLvl w:val="3"/>
    </w:pPr>
    <w:rPr>
      <w:rFonts w:ascii="Arial" w:hAnsi="Arial" w:eastAsia="Arial" w:cs="Arial"/>
      <w:b/>
      <w:bCs/>
      <w:sz w:val="26"/>
      <w:szCs w:val="26"/>
    </w:rPr>
  </w:style>
  <w:style w:type="character" w:styleId="662">
    <w:name w:val="Heading 4 Char"/>
    <w:link w:val="661"/>
    <w:uiPriority w:val="9"/>
    <w:rPr>
      <w:rFonts w:ascii="Arial" w:hAnsi="Arial" w:eastAsia="Arial" w:cs="Arial"/>
      <w:b/>
      <w:bCs/>
      <w:sz w:val="26"/>
      <w:szCs w:val="26"/>
    </w:rPr>
  </w:style>
  <w:style w:type="paragraph" w:styleId="663">
    <w:name w:val="Heading 5"/>
    <w:basedOn w:val="833"/>
    <w:next w:val="833"/>
    <w:link w:val="664"/>
    <w:uiPriority w:val="9"/>
    <w:unhideWhenUsed/>
    <w:qFormat/>
    <w:pPr>
      <w:keepLines/>
      <w:keepNext/>
      <w:spacing w:before="320" w:after="200"/>
      <w:outlineLvl w:val="4"/>
    </w:pPr>
    <w:rPr>
      <w:rFonts w:ascii="Arial" w:hAnsi="Arial" w:eastAsia="Arial" w:cs="Arial"/>
      <w:b/>
      <w:bCs/>
      <w:sz w:val="24"/>
      <w:szCs w:val="24"/>
    </w:rPr>
  </w:style>
  <w:style w:type="character" w:styleId="664">
    <w:name w:val="Heading 5 Char"/>
    <w:link w:val="663"/>
    <w:uiPriority w:val="9"/>
    <w:rPr>
      <w:rFonts w:ascii="Arial" w:hAnsi="Arial" w:eastAsia="Arial" w:cs="Arial"/>
      <w:b/>
      <w:bCs/>
      <w:sz w:val="24"/>
      <w:szCs w:val="24"/>
    </w:rPr>
  </w:style>
  <w:style w:type="paragraph" w:styleId="665">
    <w:name w:val="Heading 6"/>
    <w:basedOn w:val="833"/>
    <w:next w:val="833"/>
    <w:link w:val="666"/>
    <w:uiPriority w:val="9"/>
    <w:unhideWhenUsed/>
    <w:qFormat/>
    <w:pPr>
      <w:keepLines/>
      <w:keepNext/>
      <w:spacing w:before="320" w:after="200"/>
      <w:outlineLvl w:val="5"/>
    </w:pPr>
    <w:rPr>
      <w:rFonts w:ascii="Arial" w:hAnsi="Arial" w:eastAsia="Arial" w:cs="Arial"/>
      <w:b/>
      <w:bCs/>
      <w:sz w:val="22"/>
      <w:szCs w:val="22"/>
    </w:rPr>
  </w:style>
  <w:style w:type="character" w:styleId="666">
    <w:name w:val="Heading 6 Char"/>
    <w:link w:val="665"/>
    <w:uiPriority w:val="9"/>
    <w:rPr>
      <w:rFonts w:ascii="Arial" w:hAnsi="Arial" w:eastAsia="Arial" w:cs="Arial"/>
      <w:b/>
      <w:bCs/>
      <w:sz w:val="22"/>
      <w:szCs w:val="22"/>
    </w:rPr>
  </w:style>
  <w:style w:type="paragraph" w:styleId="667">
    <w:name w:val="Heading 7"/>
    <w:basedOn w:val="833"/>
    <w:next w:val="833"/>
    <w:link w:val="668"/>
    <w:uiPriority w:val="9"/>
    <w:unhideWhenUsed/>
    <w:qFormat/>
    <w:pPr>
      <w:keepLines/>
      <w:keepNext/>
      <w:spacing w:before="320" w:after="200"/>
      <w:outlineLvl w:val="6"/>
    </w:pPr>
    <w:rPr>
      <w:rFonts w:ascii="Arial" w:hAnsi="Arial" w:eastAsia="Arial" w:cs="Arial"/>
      <w:b/>
      <w:bCs/>
      <w:i/>
      <w:iCs/>
      <w:sz w:val="22"/>
      <w:szCs w:val="22"/>
    </w:rPr>
  </w:style>
  <w:style w:type="character" w:styleId="668">
    <w:name w:val="Heading 7 Char"/>
    <w:link w:val="667"/>
    <w:uiPriority w:val="9"/>
    <w:rPr>
      <w:rFonts w:ascii="Arial" w:hAnsi="Arial" w:eastAsia="Arial" w:cs="Arial"/>
      <w:b/>
      <w:bCs/>
      <w:i/>
      <w:iCs/>
      <w:sz w:val="22"/>
      <w:szCs w:val="22"/>
    </w:rPr>
  </w:style>
  <w:style w:type="paragraph" w:styleId="669">
    <w:name w:val="Heading 8"/>
    <w:basedOn w:val="833"/>
    <w:next w:val="833"/>
    <w:link w:val="670"/>
    <w:uiPriority w:val="9"/>
    <w:unhideWhenUsed/>
    <w:qFormat/>
    <w:pPr>
      <w:keepLines/>
      <w:keepNext/>
      <w:spacing w:before="320" w:after="200"/>
      <w:outlineLvl w:val="7"/>
    </w:pPr>
    <w:rPr>
      <w:rFonts w:ascii="Arial" w:hAnsi="Arial" w:eastAsia="Arial" w:cs="Arial"/>
      <w:i/>
      <w:iCs/>
      <w:sz w:val="22"/>
      <w:szCs w:val="22"/>
    </w:rPr>
  </w:style>
  <w:style w:type="character" w:styleId="670">
    <w:name w:val="Heading 8 Char"/>
    <w:link w:val="669"/>
    <w:uiPriority w:val="9"/>
    <w:rPr>
      <w:rFonts w:ascii="Arial" w:hAnsi="Arial" w:eastAsia="Arial" w:cs="Arial"/>
      <w:i/>
      <w:iCs/>
      <w:sz w:val="22"/>
      <w:szCs w:val="22"/>
    </w:rPr>
  </w:style>
  <w:style w:type="paragraph" w:styleId="671">
    <w:name w:val="Heading 9"/>
    <w:basedOn w:val="833"/>
    <w:next w:val="833"/>
    <w:link w:val="672"/>
    <w:uiPriority w:val="9"/>
    <w:unhideWhenUsed/>
    <w:qFormat/>
    <w:pPr>
      <w:keepLines/>
      <w:keepNext/>
      <w:spacing w:before="320" w:after="200"/>
      <w:outlineLvl w:val="8"/>
    </w:pPr>
    <w:rPr>
      <w:rFonts w:ascii="Arial" w:hAnsi="Arial" w:eastAsia="Arial" w:cs="Arial"/>
      <w:i/>
      <w:iCs/>
      <w:sz w:val="21"/>
      <w:szCs w:val="21"/>
    </w:rPr>
  </w:style>
  <w:style w:type="character" w:styleId="672">
    <w:name w:val="Heading 9 Char"/>
    <w:link w:val="671"/>
    <w:uiPriority w:val="9"/>
    <w:rPr>
      <w:rFonts w:ascii="Arial" w:hAnsi="Arial" w:eastAsia="Arial" w:cs="Arial"/>
      <w:i/>
      <w:iCs/>
      <w:sz w:val="21"/>
      <w:szCs w:val="21"/>
    </w:rPr>
  </w:style>
  <w:style w:type="paragraph" w:styleId="673">
    <w:name w:val="List Paragraph"/>
    <w:basedOn w:val="833"/>
    <w:uiPriority w:val="34"/>
    <w:qFormat/>
    <w:pPr>
      <w:contextualSpacing/>
      <w:ind w:left="720"/>
    </w:pPr>
  </w:style>
  <w:style w:type="paragraph" w:styleId="674">
    <w:name w:val="No Spacing"/>
    <w:uiPriority w:val="1"/>
    <w:qFormat/>
    <w:pPr>
      <w:spacing w:before="0" w:after="0" w:line="240" w:lineRule="auto"/>
    </w:pPr>
  </w:style>
  <w:style w:type="paragraph" w:styleId="675">
    <w:name w:val="Title"/>
    <w:basedOn w:val="833"/>
    <w:next w:val="833"/>
    <w:link w:val="676"/>
    <w:uiPriority w:val="10"/>
    <w:qFormat/>
    <w:pPr>
      <w:contextualSpacing/>
      <w:spacing w:before="300" w:after="200"/>
    </w:pPr>
    <w:rPr>
      <w:sz w:val="48"/>
      <w:szCs w:val="48"/>
    </w:rPr>
  </w:style>
  <w:style w:type="character" w:styleId="676">
    <w:name w:val="Title Char"/>
    <w:link w:val="675"/>
    <w:uiPriority w:val="10"/>
    <w:rPr>
      <w:sz w:val="48"/>
      <w:szCs w:val="48"/>
    </w:rPr>
  </w:style>
  <w:style w:type="paragraph" w:styleId="677">
    <w:name w:val="Subtitle"/>
    <w:basedOn w:val="833"/>
    <w:next w:val="833"/>
    <w:link w:val="678"/>
    <w:uiPriority w:val="11"/>
    <w:qFormat/>
    <w:pPr>
      <w:spacing w:before="200" w:after="200"/>
    </w:pPr>
    <w:rPr>
      <w:sz w:val="24"/>
      <w:szCs w:val="24"/>
    </w:rPr>
  </w:style>
  <w:style w:type="character" w:styleId="678">
    <w:name w:val="Subtitle Char"/>
    <w:link w:val="677"/>
    <w:uiPriority w:val="11"/>
    <w:rPr>
      <w:sz w:val="24"/>
      <w:szCs w:val="24"/>
    </w:rPr>
  </w:style>
  <w:style w:type="paragraph" w:styleId="679">
    <w:name w:val="Quote"/>
    <w:basedOn w:val="833"/>
    <w:next w:val="833"/>
    <w:link w:val="680"/>
    <w:uiPriority w:val="29"/>
    <w:qFormat/>
    <w:pPr>
      <w:ind w:left="720" w:right="720"/>
    </w:pPr>
    <w:rPr>
      <w:i/>
    </w:rPr>
  </w:style>
  <w:style w:type="character" w:styleId="680">
    <w:name w:val="Quote Char"/>
    <w:link w:val="679"/>
    <w:uiPriority w:val="29"/>
    <w:rPr>
      <w:i/>
    </w:rPr>
  </w:style>
  <w:style w:type="paragraph" w:styleId="681">
    <w:name w:val="Intense Quote"/>
    <w:basedOn w:val="833"/>
    <w:next w:val="833"/>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next w:val="833"/>
    <w:link w:val="833"/>
    <w:qFormat/>
    <w:rPr>
      <w:lang w:val="en-US" w:eastAsia="zh-CN" w:bidi="ar-SA"/>
    </w:rPr>
  </w:style>
  <w:style w:type="paragraph" w:styleId="834">
    <w:name w:val="标题 1"/>
    <w:basedOn w:val="833"/>
    <w:next w:val="833"/>
    <w:link w:val="840"/>
    <w:uiPriority w:val="9"/>
    <w:qFormat/>
    <w:pPr>
      <w:keepLines/>
      <w:keepNext/>
      <w:spacing w:before="40" w:after="40" w:line="360" w:lineRule="auto"/>
      <w:outlineLvl w:val="0"/>
    </w:pPr>
    <w:rPr>
      <w:rFonts w:ascii="Calibri" w:hAnsi="Calibri"/>
      <w:b/>
      <w:bCs/>
      <w:sz w:val="28"/>
      <w:szCs w:val="44"/>
    </w:rPr>
  </w:style>
  <w:style w:type="paragraph" w:styleId="835">
    <w:name w:val="标题 2"/>
    <w:basedOn w:val="833"/>
    <w:next w:val="833"/>
    <w:link w:val="833"/>
    <w:qFormat/>
    <w:pPr>
      <w:keepLines/>
      <w:keepNext/>
      <w:spacing w:before="260" w:after="260" w:line="413" w:lineRule="auto"/>
      <w:outlineLvl w:val="1"/>
    </w:pPr>
    <w:rPr>
      <w:rFonts w:ascii="Arial" w:hAnsi="Arial" w:eastAsia="黑体"/>
      <w:b/>
      <w:bCs/>
      <w:sz w:val="32"/>
      <w:szCs w:val="32"/>
    </w:rPr>
  </w:style>
  <w:style w:type="paragraph" w:styleId="836">
    <w:name w:val="标题 3"/>
    <w:basedOn w:val="833"/>
    <w:next w:val="833"/>
    <w:link w:val="833"/>
    <w:qFormat/>
    <w:pPr>
      <w:keepLines/>
      <w:keepNext/>
      <w:spacing w:before="260" w:after="260" w:line="413" w:lineRule="auto"/>
      <w:outlineLvl w:val="2"/>
    </w:pPr>
    <w:rPr>
      <w:b/>
      <w:bCs/>
      <w:sz w:val="32"/>
      <w:szCs w:val="32"/>
    </w:rPr>
  </w:style>
  <w:style w:type="paragraph" w:styleId="837">
    <w:name w:val="标题 4"/>
    <w:basedOn w:val="833"/>
    <w:next w:val="841"/>
    <w:link w:val="833"/>
    <w:qFormat/>
    <w:pPr>
      <w:keepLines/>
      <w:keepNext/>
      <w:spacing w:before="120" w:after="120"/>
      <w:outlineLvl w:val="3"/>
    </w:pPr>
    <w:rPr>
      <w:rFonts w:ascii="Cambria" w:hAnsi="Cambria" w:eastAsia="华文细黑"/>
      <w:b/>
      <w:sz w:val="28"/>
      <w:szCs w:val="20"/>
    </w:rPr>
  </w:style>
  <w:style w:type="character" w:styleId="838">
    <w:name w:val="默认段落字体"/>
    <w:next w:val="838"/>
    <w:link w:val="833"/>
    <w:uiPriority w:val="1"/>
    <w:unhideWhenUsed/>
  </w:style>
  <w:style w:type="table" w:styleId="839">
    <w:name w:val="普通表格"/>
    <w:next w:val="839"/>
    <w:link w:val="833"/>
    <w:uiPriority w:val="99"/>
    <w:unhideWhenUsed/>
    <w:qFormat/>
    <w:tblPr/>
  </w:style>
  <w:style w:type="character" w:styleId="840">
    <w:name w:val="标题 1 Char"/>
    <w:next w:val="840"/>
    <w:link w:val="834"/>
    <w:uiPriority w:val="9"/>
    <w:qFormat/>
    <w:rPr>
      <w:rFonts w:ascii="Calibri" w:hAnsi="Calibri"/>
      <w:b/>
      <w:bCs/>
      <w:sz w:val="28"/>
      <w:szCs w:val="44"/>
    </w:rPr>
  </w:style>
  <w:style w:type="paragraph" w:styleId="841">
    <w:name w:val="正文缩进"/>
    <w:basedOn w:val="833"/>
    <w:next w:val="841"/>
    <w:link w:val="833"/>
    <w:pPr>
      <w:ind w:firstLine="420"/>
    </w:pPr>
    <w:rPr>
      <w:szCs w:val="20"/>
    </w:rPr>
  </w:style>
  <w:style w:type="paragraph" w:styleId="842">
    <w:name w:val="正文文本"/>
    <w:basedOn w:val="833"/>
    <w:next w:val="842"/>
    <w:link w:val="833"/>
    <w:qFormat/>
    <w:pPr>
      <w:ind w:left="72" w:right="30"/>
      <w:jc w:val="center"/>
      <w:spacing w:after="60" w:line="360" w:lineRule="atLeast"/>
    </w:pPr>
    <w:rPr>
      <w:sz w:val="20"/>
      <w:szCs w:val="20"/>
    </w:rPr>
  </w:style>
  <w:style w:type="paragraph" w:styleId="843">
    <w:name w:val="纯文本"/>
    <w:basedOn w:val="833"/>
    <w:next w:val="843"/>
    <w:link w:val="833"/>
    <w:qFormat/>
    <w:rPr>
      <w:rFonts w:ascii="宋体" w:hAnsi="Courier New"/>
      <w:sz w:val="20"/>
      <w:szCs w:val="21"/>
    </w:rPr>
  </w:style>
  <w:style w:type="paragraph" w:styleId="844">
    <w:name w:val="批注框文本"/>
    <w:basedOn w:val="833"/>
    <w:next w:val="844"/>
    <w:link w:val="845"/>
    <w:uiPriority w:val="99"/>
    <w:unhideWhenUsed/>
    <w:rPr>
      <w:sz w:val="18"/>
      <w:szCs w:val="18"/>
    </w:rPr>
  </w:style>
  <w:style w:type="character" w:styleId="845">
    <w:name w:val="批注框文本 Char"/>
    <w:next w:val="845"/>
    <w:link w:val="844"/>
    <w:uiPriority w:val="99"/>
    <w:semiHidden/>
    <w:rPr>
      <w:sz w:val="18"/>
      <w:szCs w:val="18"/>
    </w:rPr>
  </w:style>
  <w:style w:type="paragraph" w:styleId="846">
    <w:name w:val="页脚"/>
    <w:basedOn w:val="833"/>
    <w:next w:val="846"/>
    <w:link w:val="847"/>
    <w:uiPriority w:val="99"/>
    <w:unhideWhenUsed/>
    <w:pPr>
      <w:tabs>
        <w:tab w:val="center" w:pos="4153" w:leader="none"/>
        <w:tab w:val="right" w:pos="8306" w:leader="none"/>
      </w:tabs>
    </w:pPr>
    <w:rPr>
      <w:sz w:val="18"/>
      <w:szCs w:val="18"/>
    </w:rPr>
  </w:style>
  <w:style w:type="character" w:styleId="847">
    <w:name w:val="页脚 Char"/>
    <w:next w:val="847"/>
    <w:link w:val="846"/>
    <w:uiPriority w:val="99"/>
    <w:semiHidden/>
    <w:rPr>
      <w:sz w:val="18"/>
      <w:szCs w:val="18"/>
    </w:rPr>
  </w:style>
  <w:style w:type="paragraph" w:styleId="848">
    <w:name w:val="页眉"/>
    <w:basedOn w:val="833"/>
    <w:next w:val="848"/>
    <w:link w:val="849"/>
    <w:uiPriority w:val="99"/>
    <w:unhideWhenUsed/>
    <w:pPr>
      <w:jc w:val="center"/>
      <w:tabs>
        <w:tab w:val="center" w:pos="4153" w:leader="none"/>
        <w:tab w:val="right" w:pos="8306" w:leader="none"/>
      </w:tabs>
      <w:pBdr>
        <w:bottom w:val="single" w:color="000000" w:sz="6" w:space="1"/>
      </w:pBdr>
    </w:pPr>
    <w:rPr>
      <w:sz w:val="18"/>
      <w:szCs w:val="18"/>
    </w:rPr>
  </w:style>
  <w:style w:type="character" w:styleId="849">
    <w:name w:val="页眉 Char"/>
    <w:next w:val="849"/>
    <w:link w:val="848"/>
    <w:uiPriority w:val="99"/>
    <w:semiHidden/>
    <w:rPr>
      <w:sz w:val="18"/>
      <w:szCs w:val="18"/>
    </w:rPr>
  </w:style>
  <w:style w:type="paragraph" w:styleId="850">
    <w:name w:val="正文文本缩进 3"/>
    <w:basedOn w:val="833"/>
    <w:next w:val="850"/>
    <w:link w:val="833"/>
    <w:qFormat/>
    <w:pPr>
      <w:ind w:left="567"/>
      <w:jc w:val="left"/>
      <w:spacing w:line="360" w:lineRule="auto"/>
      <w:widowControl/>
      <w:tabs>
        <w:tab w:val="left" w:pos="0" w:leader="none"/>
        <w:tab w:val="left" w:pos="1134" w:leader="none"/>
      </w:tabs>
    </w:pPr>
    <w:rPr>
      <w:rFonts w:hint="eastAsia" w:ascii="仿宋_GB2312" w:eastAsia="仿宋_GB2312"/>
      <w:sz w:val="28"/>
      <w:szCs w:val="20"/>
    </w:rPr>
  </w:style>
  <w:style w:type="paragraph" w:styleId="851">
    <w:name w:val="普通(网站)"/>
    <w:basedOn w:val="833"/>
    <w:next w:val="851"/>
    <w:link w:val="833"/>
    <w:uiPriority w:val="99"/>
    <w:unhideWhenUsed/>
    <w:qFormat/>
    <w:pPr>
      <w:ind w:left="0" w:right="0"/>
      <w:jc w:val="left"/>
      <w:spacing w:before="100" w:beforeAutospacing="1" w:after="100" w:afterAutospacing="1" w:line="15" w:lineRule="atLeast"/>
    </w:pPr>
    <w:rPr>
      <w:rFonts w:ascii="微软雅黑" w:hAnsi="微软雅黑" w:eastAsia="微软雅黑" w:cs="微软雅黑"/>
      <w:color w:val="333333"/>
      <w:sz w:val="18"/>
      <w:szCs w:val="18"/>
      <w:lang w:val="en-US" w:eastAsia="zh-CN" w:bidi="ar"/>
    </w:rPr>
  </w:style>
  <w:style w:type="table" w:styleId="852">
    <w:name w:val="网格型"/>
    <w:basedOn w:val="839"/>
    <w:next w:val="852"/>
    <w:link w:val="833"/>
    <w:uiPriority w:val="39"/>
    <w:qFormat/>
    <w:tblPr/>
  </w:style>
  <w:style w:type="paragraph" w:styleId="853">
    <w:name w:val="首行缩进"/>
    <w:basedOn w:val="833"/>
    <w:next w:val="853"/>
    <w:link w:val="833"/>
    <w:uiPriority w:val="99"/>
    <w:qFormat/>
    <w:pPr>
      <w:ind w:firstLine="480"/>
    </w:pPr>
    <w:rPr>
      <w:szCs w:val="20"/>
    </w:rPr>
  </w:style>
  <w:style w:type="paragraph" w:styleId="854">
    <w:name w:val="列出段落"/>
    <w:basedOn w:val="833"/>
    <w:next w:val="833"/>
    <w:link w:val="833"/>
    <w:uiPriority w:val="34"/>
    <w:qFormat/>
    <w:pPr>
      <w:ind w:firstLine="420"/>
    </w:pPr>
  </w:style>
  <w:style w:type="paragraph" w:styleId="855">
    <w:name w:val="正文1"/>
    <w:basedOn w:val="833"/>
    <w:next w:val="833"/>
    <w:link w:val="833"/>
    <w:qFormat/>
    <w:pPr>
      <w:contextualSpacing/>
      <w:ind w:firstLine="200"/>
      <w:spacing w:before="120" w:after="120"/>
      <w:widowControl/>
    </w:pPr>
    <w:rPr>
      <w:rFonts w:ascii="Calibri" w:hAnsi="Calibri" w:eastAsia="Adobe 仿宋 Std R"/>
      <w:szCs w:val="21"/>
    </w:rPr>
  </w:style>
  <w:style w:type="paragraph" w:styleId="856">
    <w:name w:val="段"/>
    <w:next w:val="833"/>
    <w:link w:val="833"/>
    <w:pPr>
      <w:ind w:firstLine="200"/>
      <w:jc w:val="both"/>
    </w:pPr>
    <w:rPr>
      <w:rFonts w:ascii="宋体"/>
      <w:sz w:val="21"/>
      <w:lang w:val="en-US" w:eastAsia="zh-CN" w:bidi="ar-SA"/>
    </w:rPr>
  </w:style>
  <w:style w:type="paragraph" w:styleId="857">
    <w:name w:val="样式1 正文"/>
    <w:basedOn w:val="833"/>
    <w:next w:val="857"/>
    <w:link w:val="833"/>
    <w:qFormat/>
    <w:pPr>
      <w:ind w:firstLine="200"/>
    </w:pPr>
    <w:rPr>
      <w:rFonts w:cs="宋体"/>
    </w:rPr>
  </w:style>
  <w:style w:type="paragraph" w:styleId="858">
    <w:name w:val="表内文字"/>
    <w:basedOn w:val="833"/>
    <w:next w:val="858"/>
    <w:link w:val="833"/>
    <w:qFormat/>
    <w:pPr>
      <w:jc w:val="center"/>
      <w:spacing w:line="320" w:lineRule="exact"/>
    </w:pPr>
    <w:rPr>
      <w:rFonts w:ascii="宋体" w:hAnsi="宋体"/>
      <w:szCs w:val="21"/>
    </w:rPr>
  </w:style>
  <w:style w:type="paragraph" w:styleId="859">
    <w:name w:val="样式 首行缩进:  0 字符"/>
    <w:basedOn w:val="833"/>
    <w:next w:val="859"/>
    <w:link w:val="860"/>
    <w:qFormat/>
    <w:pPr>
      <w:jc w:val="left"/>
      <w:spacing w:after="160" w:line="259" w:lineRule="auto"/>
      <w:widowControl/>
    </w:pPr>
    <w:rPr>
      <w:rFonts w:cs="宋体"/>
      <w:sz w:val="22"/>
      <w:szCs w:val="20"/>
    </w:rPr>
  </w:style>
  <w:style w:type="character" w:styleId="860">
    <w:name w:val="样式 首行缩进:  0 字符 Char"/>
    <w:next w:val="860"/>
    <w:link w:val="859"/>
    <w:rPr>
      <w:rFonts w:cs="宋体"/>
      <w:sz w:val="22"/>
    </w:rPr>
  </w:style>
  <w:style w:type="table" w:styleId="861">
    <w:name w:val="网格型1"/>
    <w:basedOn w:val="839"/>
    <w:next w:val="861"/>
    <w:link w:val="833"/>
    <w:uiPriority w:val="39"/>
    <w:rPr>
      <w:rFonts w:ascii="Calibri" w:hAnsi="Calibri" w:eastAsia="宋体" w:cs="Times New Roman"/>
      <w:sz w:val="21"/>
      <w:szCs w:val="22"/>
    </w:rPr>
    <w:tblPr/>
  </w:style>
  <w:style w:type="table" w:styleId="862">
    <w:name w:val="网格型2"/>
    <w:basedOn w:val="839"/>
    <w:next w:val="862"/>
    <w:link w:val="833"/>
    <w:uiPriority w:val="39"/>
    <w:rPr>
      <w:rFonts w:ascii="Calibri" w:hAnsi="Calibri" w:eastAsia="宋体" w:cs="Times New Roman"/>
      <w:sz w:val="21"/>
      <w:szCs w:val="22"/>
    </w:rPr>
    <w:tblPr/>
  </w:style>
  <w:style w:type="table" w:styleId="863">
    <w:name w:val="网格型3"/>
    <w:basedOn w:val="839"/>
    <w:next w:val="863"/>
    <w:link w:val="833"/>
    <w:uiPriority w:val="39"/>
    <w:rPr>
      <w:rFonts w:ascii="Calibri" w:hAnsi="Calibri" w:eastAsia="宋体" w:cs="Times New Roman"/>
      <w:sz w:val="21"/>
      <w:szCs w:val="22"/>
    </w:rPr>
    <w:tblPr/>
  </w:style>
  <w:style w:type="table" w:styleId="864">
    <w:name w:val="网格型4"/>
    <w:basedOn w:val="839"/>
    <w:next w:val="864"/>
    <w:link w:val="833"/>
    <w:uiPriority w:val="39"/>
    <w:rPr>
      <w:rFonts w:ascii="Calibri" w:hAnsi="Calibri" w:eastAsia="宋体" w:cs="Times New Roman"/>
      <w:sz w:val="21"/>
      <w:szCs w:val="22"/>
    </w:rPr>
    <w:tblPr/>
  </w:style>
  <w:style w:type="paragraph" w:styleId="865">
    <w:name w:val="Default"/>
    <w:next w:val="865"/>
    <w:link w:val="833"/>
    <w:qFormat/>
    <w:pPr>
      <w:widowControl w:val="off"/>
    </w:pPr>
    <w:rPr>
      <w:rFonts w:ascii="宋体" w:hAnsi="Calibri" w:cs="宋体"/>
      <w:color w:val="000000"/>
      <w:sz w:val="24"/>
      <w:szCs w:val="24"/>
      <w:lang w:val="en-US" w:eastAsia="zh-CN" w:bidi="ar-SA"/>
    </w:rPr>
  </w:style>
  <w:style w:type="character" w:styleId="866">
    <w:name w:val="font11"/>
    <w:next w:val="866"/>
    <w:link w:val="833"/>
    <w:qFormat/>
    <w:rPr>
      <w:rFonts w:ascii="Arial" w:hAnsi="Arial" w:cs="Arial"/>
      <w:color w:val="000000"/>
      <w:sz w:val="22"/>
      <w:szCs w:val="22"/>
      <w:u w:val="none"/>
    </w:rPr>
  </w:style>
  <w:style w:type="character" w:styleId="867">
    <w:name w:val="font01"/>
    <w:next w:val="867"/>
    <w:link w:val="833"/>
    <w:qFormat/>
    <w:rPr>
      <w:rFonts w:hint="eastAsia" w:ascii="宋体" w:hAnsi="宋体" w:eastAsia="宋体" w:cs="宋体"/>
      <w:color w:val="000000"/>
      <w:sz w:val="22"/>
      <w:szCs w:val="22"/>
      <w:u w:val="none"/>
    </w:rPr>
  </w:style>
  <w:style w:type="paragraph" w:styleId="868">
    <w:name w:val="Heading #3|1"/>
    <w:basedOn w:val="833"/>
    <w:next w:val="868"/>
    <w:link w:val="833"/>
    <w:qFormat/>
    <w:pPr>
      <w:jc w:val="center"/>
      <w:spacing w:after="480"/>
      <w:outlineLvl w:val="2"/>
    </w:pPr>
    <w:rPr>
      <w:rFonts w:cs="宋体"/>
      <w:sz w:val="34"/>
      <w:szCs w:val="34"/>
      <w:lang w:val="zh-TW" w:eastAsia="zh-TW" w:bidi="zh-TW"/>
    </w:rPr>
  </w:style>
  <w:style w:type="paragraph" w:styleId="869">
    <w:name w:val="Other|1"/>
    <w:basedOn w:val="833"/>
    <w:next w:val="869"/>
    <w:link w:val="833"/>
    <w:qFormat/>
    <w:pPr>
      <w:ind w:firstLine="400"/>
      <w:jc w:val="both"/>
      <w:spacing w:line="389" w:lineRule="auto"/>
    </w:pPr>
    <w:rPr>
      <w:rFonts w:cs="宋体"/>
      <w:sz w:val="30"/>
      <w:szCs w:val="30"/>
      <w:lang w:val="zh-TW" w:eastAsia="zh-TW" w:bidi="zh-TW"/>
    </w:rPr>
  </w:style>
  <w:style w:type="paragraph" w:styleId="870">
    <w:name w:val="Heading 2"/>
    <w:basedOn w:val="833"/>
    <w:next w:val="870"/>
    <w:link w:val="833"/>
    <w:qFormat/>
    <w:pPr>
      <w:spacing w:before="100" w:beforeAutospacing="1" w:after="100" w:afterAutospacing="1"/>
      <w:widowControl/>
    </w:pPr>
    <w:rPr>
      <w:rFonts w:ascii="宋体" w:hAnsi="宋体" w:eastAsia="宋体" w:cs="宋体"/>
      <w:sz w:val="24"/>
      <w:szCs w:val="24"/>
      <w:lang w:val="en-US" w:bidi="ar-SA"/>
    </w:rPr>
  </w:style>
  <w:style w:type="character" w:styleId="871" w:default="1">
    <w:name w:val="Default Paragraph Font"/>
    <w:uiPriority w:val="1"/>
    <w:semiHidden/>
    <w:unhideWhenUsed/>
  </w:style>
  <w:style w:type="numbering" w:styleId="872" w:default="1">
    <w:name w:val="No List"/>
    <w:uiPriority w:val="99"/>
    <w:semiHidden/>
    <w:unhideWhenUsed/>
  </w:style>
  <w:style w:type="table" w:styleId="8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www.baidu.com/s?rsv_dl=re_dqa_generate&amp;sa=re_dqa_generate&amp;wd=Hettich%E6%B5%B7%E8%92%82%E8%AF%97&amp;rsv_pq=b0d2479e00015058&amp;oq=%E9%97%A8%E7%AA%97%E4%BA%94%E9%87%91%E5%93%81%E7%89%8C&amp;rsv_t=09b8Wn0JjUAWROhBEVSlvpZVkz6wwTwZJQpiTqF5odpLkzEmzHVmAr5PSPu4wY4Gz8qeAPjO8jmI&amp;tn=40020637_19_oem_dg&amp;ie=utf-8" TargetMode="External"/><Relationship Id="rId11" Type="http://schemas.openxmlformats.org/officeDocument/2006/relationships/hyperlink" Target="https://www.baidu.com/s?rsv_dl=re_dqa_generate&amp;sa=re_dqa_generate&amp;wd=%E5%9D%9A%E6%9C%97Kinlong&amp;rsv_pq=b0d2479e00015058&amp;oq=%E9%97%A8%E7%AA%97%E4%BA%94%E9%87%91%E5%93%81%E7%89%8C&amp;rsv_t=09b8Wn0JjUAWROhBEVSlvpZVkz6wwTwZJQpiTqF5odpLkzEmzHVmAr5PSPu4wY4Gz8qeAPjO8jmI&amp;tn=40020637_19_oem_dg&amp;ie=utf-8" TargetMode="External"/><Relationship Id="rId12" Type="http://schemas.openxmlformats.org/officeDocument/2006/relationships/hyperlink" Target="https://www.baidu.com/s?rsv_dl=re_dqa_generate&amp;sa=re_dqa_generate&amp;wd=Topstrong%E9%A1%B6%E5%9B%BA&amp;rsv_pq=b0d2479e00015058&amp;oq=%E9%97%A8%E7%AA%97%E4%BA%94%E9%87%91%E5%93%81%E7%89%8C&amp;rsv_t=09b8Wn0JjUAWROhBEVSlvpZVkz6wwTwZJQpiTqF5odpLkzEmzHVmAr5PSPu4wY4Gz8qeAPjO8jmI&amp;tn=40020637_19_oem_dg&amp;ie=utf-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ITSK</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陈阳阳</cp:lastModifiedBy>
  <cp:revision>9</cp:revision>
  <dcterms:created xsi:type="dcterms:W3CDTF">2021-05-20T06:24:00Z</dcterms:created>
  <dcterms:modified xsi:type="dcterms:W3CDTF">2025-12-18T11:13:54Z</dcterms:modified>
</cp:coreProperties>
</file>